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sdt>
      <w:sdtPr>
        <w:rPr>
          <w:rFonts w:ascii="宋体" w:hAnsi="宋体" w:eastAsia="宋体"/>
          <w:sz w:val="36"/>
          <w:szCs w:val="36"/>
        </w:rPr>
        <w:id w:val="147454227"/>
        <w15:color w:val="DBDBDB"/>
        <w:docPartObj>
          <w:docPartGallery w:val="Table of Contents"/>
          <w:docPartUnique/>
        </w:docPartObj>
      </w:sdtPr>
      <w:sdtEndPr>
        <w:rPr>
          <w:rFonts w:hint="eastAsia" w:asciiTheme="minorHAnsi" w:hAnsiTheme="minorHAnsi" w:eastAsiaTheme="minorEastAsia"/>
          <w:sz w:val="24"/>
          <w:szCs w:val="22"/>
        </w:rPr>
      </w:sdtEndPr>
      <w:sdtContent>
        <w:p>
          <w:pPr>
            <w:spacing w:line="240" w:lineRule="auto"/>
            <w:jc w:val="center"/>
            <w:rPr>
              <w:rFonts w:ascii="宋体" w:hAnsi="宋体" w:eastAsia="宋体"/>
              <w:sz w:val="36"/>
              <w:szCs w:val="36"/>
            </w:rPr>
          </w:pPr>
        </w:p>
        <w:p>
          <w:pPr>
            <w:spacing w:line="240" w:lineRule="auto"/>
            <w:jc w:val="center"/>
            <w:rPr>
              <w:sz w:val="36"/>
              <w:szCs w:val="36"/>
            </w:rPr>
          </w:pPr>
          <w:r>
            <w:rPr>
              <w:rFonts w:ascii="宋体" w:hAnsi="宋体" w:eastAsia="宋体"/>
              <w:b/>
              <w:bCs/>
              <w:sz w:val="36"/>
              <w:szCs w:val="36"/>
            </w:rPr>
            <w:t>目</w:t>
          </w:r>
          <w:r>
            <w:rPr>
              <w:rFonts w:hint="eastAsia" w:ascii="宋体" w:hAnsi="宋体" w:eastAsia="宋体"/>
              <w:b/>
              <w:bCs/>
              <w:sz w:val="36"/>
              <w:szCs w:val="36"/>
            </w:rPr>
            <w:t xml:space="preserve">  </w:t>
          </w:r>
          <w:r>
            <w:rPr>
              <w:rFonts w:ascii="宋体" w:hAnsi="宋体" w:eastAsia="宋体"/>
              <w:b/>
              <w:bCs/>
              <w:sz w:val="36"/>
              <w:szCs w:val="36"/>
            </w:rPr>
            <w:t>录</w:t>
          </w:r>
        </w:p>
        <w:p>
          <w:pPr>
            <w:pStyle w:val="32"/>
            <w:tabs>
              <w:tab w:val="right" w:leader="dot" w:pos="8306"/>
            </w:tabs>
            <w:rPr>
              <w:sz w:val="28"/>
              <w:szCs w:val="28"/>
            </w:rPr>
          </w:pPr>
          <w:r>
            <w:rPr>
              <w:rFonts w:hint="eastAsia"/>
            </w:rPr>
            <w:fldChar w:fldCharType="begin"/>
          </w:r>
          <w:r>
            <w:rPr>
              <w:rFonts w:hint="eastAsia"/>
            </w:rPr>
            <w:instrText xml:space="preserve">TOC \o "1-1" \h \u </w:instrText>
          </w:r>
          <w:r>
            <w:rPr>
              <w:rFonts w:hint="eastAsia"/>
            </w:rPr>
            <w:fldChar w:fldCharType="separate"/>
          </w:r>
          <w:r>
            <w:fldChar w:fldCharType="begin"/>
          </w:r>
          <w:r>
            <w:instrText xml:space="preserve"> HYPERLINK \l "_Toc11058" </w:instrText>
          </w:r>
          <w:r>
            <w:fldChar w:fldCharType="separate"/>
          </w:r>
          <w:r>
            <w:rPr>
              <w:rFonts w:hint="eastAsia"/>
              <w:sz w:val="28"/>
              <w:szCs w:val="28"/>
            </w:rPr>
            <w:t>一、建设项目基本情况</w:t>
          </w:r>
          <w:r>
            <w:rPr>
              <w:sz w:val="28"/>
              <w:szCs w:val="28"/>
            </w:rPr>
            <w:tab/>
          </w:r>
          <w:r>
            <w:rPr>
              <w:sz w:val="28"/>
              <w:szCs w:val="28"/>
            </w:rPr>
            <w:fldChar w:fldCharType="begin"/>
          </w:r>
          <w:r>
            <w:rPr>
              <w:sz w:val="28"/>
              <w:szCs w:val="28"/>
            </w:rPr>
            <w:instrText xml:space="preserve"> PAGEREF _Toc11058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32"/>
            <w:tabs>
              <w:tab w:val="right" w:leader="dot" w:pos="8306"/>
            </w:tabs>
            <w:rPr>
              <w:sz w:val="28"/>
              <w:szCs w:val="28"/>
            </w:rPr>
          </w:pPr>
          <w:r>
            <w:fldChar w:fldCharType="begin"/>
          </w:r>
          <w:r>
            <w:instrText xml:space="preserve"> HYPERLINK \l "_Toc31479" </w:instrText>
          </w:r>
          <w:r>
            <w:fldChar w:fldCharType="separate"/>
          </w:r>
          <w:r>
            <w:rPr>
              <w:rFonts w:hint="eastAsia"/>
              <w:bCs/>
              <w:sz w:val="28"/>
              <w:szCs w:val="28"/>
            </w:rPr>
            <w:t>二、建设项目所在地自然环境简况</w:t>
          </w:r>
          <w:r>
            <w:rPr>
              <w:sz w:val="28"/>
              <w:szCs w:val="28"/>
            </w:rPr>
            <w:tab/>
          </w:r>
          <w:r>
            <w:rPr>
              <w:sz w:val="28"/>
              <w:szCs w:val="28"/>
            </w:rPr>
            <w:fldChar w:fldCharType="begin"/>
          </w:r>
          <w:r>
            <w:rPr>
              <w:sz w:val="28"/>
              <w:szCs w:val="28"/>
            </w:rPr>
            <w:instrText xml:space="preserve"> PAGEREF _Toc31479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32"/>
            <w:tabs>
              <w:tab w:val="right" w:leader="dot" w:pos="8306"/>
            </w:tabs>
            <w:rPr>
              <w:sz w:val="28"/>
              <w:szCs w:val="28"/>
            </w:rPr>
          </w:pPr>
          <w:r>
            <w:fldChar w:fldCharType="begin"/>
          </w:r>
          <w:r>
            <w:instrText xml:space="preserve"> HYPERLINK \l "_Toc28697" </w:instrText>
          </w:r>
          <w:r>
            <w:fldChar w:fldCharType="separate"/>
          </w:r>
          <w:r>
            <w:rPr>
              <w:rFonts w:hint="eastAsia"/>
              <w:bCs/>
              <w:sz w:val="28"/>
              <w:szCs w:val="28"/>
            </w:rPr>
            <w:t>三、环境质量状况</w:t>
          </w:r>
          <w:r>
            <w:rPr>
              <w:sz w:val="28"/>
              <w:szCs w:val="28"/>
            </w:rPr>
            <w:tab/>
          </w:r>
          <w:r>
            <w:rPr>
              <w:sz w:val="28"/>
              <w:szCs w:val="28"/>
            </w:rPr>
            <w:fldChar w:fldCharType="begin"/>
          </w:r>
          <w:r>
            <w:rPr>
              <w:sz w:val="28"/>
              <w:szCs w:val="28"/>
            </w:rPr>
            <w:instrText xml:space="preserve"> PAGEREF _Toc28697 </w:instrText>
          </w:r>
          <w:r>
            <w:rPr>
              <w:sz w:val="28"/>
              <w:szCs w:val="28"/>
            </w:rPr>
            <w:fldChar w:fldCharType="separate"/>
          </w:r>
          <w:r>
            <w:rPr>
              <w:sz w:val="28"/>
              <w:szCs w:val="28"/>
            </w:rPr>
            <w:t>20</w:t>
          </w:r>
          <w:r>
            <w:rPr>
              <w:sz w:val="28"/>
              <w:szCs w:val="28"/>
            </w:rPr>
            <w:fldChar w:fldCharType="end"/>
          </w:r>
          <w:r>
            <w:rPr>
              <w:sz w:val="28"/>
              <w:szCs w:val="28"/>
            </w:rPr>
            <w:fldChar w:fldCharType="end"/>
          </w:r>
        </w:p>
        <w:p>
          <w:pPr>
            <w:pStyle w:val="32"/>
            <w:tabs>
              <w:tab w:val="right" w:leader="dot" w:pos="8306"/>
            </w:tabs>
            <w:rPr>
              <w:sz w:val="28"/>
              <w:szCs w:val="28"/>
            </w:rPr>
          </w:pPr>
          <w:r>
            <w:fldChar w:fldCharType="begin"/>
          </w:r>
          <w:r>
            <w:instrText xml:space="preserve"> HYPERLINK \l "_Toc28435" </w:instrText>
          </w:r>
          <w:r>
            <w:fldChar w:fldCharType="separate"/>
          </w:r>
          <w:r>
            <w:rPr>
              <w:rFonts w:hint="eastAsia"/>
              <w:sz w:val="28"/>
              <w:szCs w:val="28"/>
            </w:rPr>
            <w:t>四、</w:t>
          </w:r>
          <w:r>
            <w:rPr>
              <w:sz w:val="28"/>
              <w:szCs w:val="28"/>
            </w:rPr>
            <w:t>评价适用标准</w:t>
          </w:r>
          <w:r>
            <w:rPr>
              <w:sz w:val="28"/>
              <w:szCs w:val="28"/>
            </w:rPr>
            <w:tab/>
          </w:r>
          <w:r>
            <w:rPr>
              <w:sz w:val="28"/>
              <w:szCs w:val="28"/>
            </w:rPr>
            <w:fldChar w:fldCharType="begin"/>
          </w:r>
          <w:r>
            <w:rPr>
              <w:sz w:val="28"/>
              <w:szCs w:val="28"/>
            </w:rPr>
            <w:instrText xml:space="preserve"> PAGEREF _Toc28435 </w:instrText>
          </w:r>
          <w:r>
            <w:rPr>
              <w:sz w:val="28"/>
              <w:szCs w:val="28"/>
            </w:rPr>
            <w:fldChar w:fldCharType="separate"/>
          </w:r>
          <w:r>
            <w:rPr>
              <w:sz w:val="28"/>
              <w:szCs w:val="28"/>
            </w:rPr>
            <w:t>26</w:t>
          </w:r>
          <w:r>
            <w:rPr>
              <w:sz w:val="28"/>
              <w:szCs w:val="28"/>
            </w:rPr>
            <w:fldChar w:fldCharType="end"/>
          </w:r>
          <w:r>
            <w:rPr>
              <w:sz w:val="28"/>
              <w:szCs w:val="28"/>
            </w:rPr>
            <w:fldChar w:fldCharType="end"/>
          </w:r>
        </w:p>
        <w:p>
          <w:pPr>
            <w:pStyle w:val="32"/>
            <w:tabs>
              <w:tab w:val="right" w:leader="dot" w:pos="8306"/>
            </w:tabs>
            <w:rPr>
              <w:sz w:val="28"/>
              <w:szCs w:val="28"/>
            </w:rPr>
          </w:pPr>
          <w:r>
            <w:fldChar w:fldCharType="begin"/>
          </w:r>
          <w:r>
            <w:instrText xml:space="preserve"> HYPERLINK \l "_Toc29678" </w:instrText>
          </w:r>
          <w:r>
            <w:fldChar w:fldCharType="separate"/>
          </w:r>
          <w:r>
            <w:rPr>
              <w:rFonts w:hint="eastAsia"/>
              <w:sz w:val="28"/>
              <w:szCs w:val="28"/>
            </w:rPr>
            <w:t>五、建设项目工程分析</w:t>
          </w:r>
          <w:r>
            <w:rPr>
              <w:sz w:val="28"/>
              <w:szCs w:val="28"/>
            </w:rPr>
            <w:tab/>
          </w:r>
          <w:r>
            <w:rPr>
              <w:sz w:val="28"/>
              <w:szCs w:val="28"/>
            </w:rPr>
            <w:fldChar w:fldCharType="begin"/>
          </w:r>
          <w:r>
            <w:rPr>
              <w:sz w:val="28"/>
              <w:szCs w:val="28"/>
            </w:rPr>
            <w:instrText xml:space="preserve"> PAGEREF _Toc29678 </w:instrText>
          </w:r>
          <w:r>
            <w:rPr>
              <w:sz w:val="28"/>
              <w:szCs w:val="28"/>
            </w:rPr>
            <w:fldChar w:fldCharType="separate"/>
          </w:r>
          <w:r>
            <w:rPr>
              <w:sz w:val="28"/>
              <w:szCs w:val="28"/>
            </w:rPr>
            <w:t>29</w:t>
          </w:r>
          <w:r>
            <w:rPr>
              <w:sz w:val="28"/>
              <w:szCs w:val="28"/>
            </w:rPr>
            <w:fldChar w:fldCharType="end"/>
          </w:r>
          <w:r>
            <w:rPr>
              <w:sz w:val="28"/>
              <w:szCs w:val="28"/>
            </w:rPr>
            <w:fldChar w:fldCharType="end"/>
          </w:r>
        </w:p>
        <w:p>
          <w:pPr>
            <w:pStyle w:val="32"/>
            <w:tabs>
              <w:tab w:val="right" w:leader="dot" w:pos="8306"/>
            </w:tabs>
            <w:rPr>
              <w:sz w:val="28"/>
              <w:szCs w:val="28"/>
            </w:rPr>
          </w:pPr>
          <w:r>
            <w:fldChar w:fldCharType="begin"/>
          </w:r>
          <w:r>
            <w:instrText xml:space="preserve"> HYPERLINK \l "_Toc18740" </w:instrText>
          </w:r>
          <w:r>
            <w:fldChar w:fldCharType="separate"/>
          </w:r>
          <w:r>
            <w:rPr>
              <w:rFonts w:hint="eastAsia"/>
              <w:sz w:val="28"/>
              <w:szCs w:val="28"/>
            </w:rPr>
            <w:t>六、项目主要污染物产生及预计排放情况</w:t>
          </w:r>
          <w:r>
            <w:rPr>
              <w:sz w:val="28"/>
              <w:szCs w:val="28"/>
            </w:rPr>
            <w:tab/>
          </w:r>
          <w:r>
            <w:rPr>
              <w:sz w:val="28"/>
              <w:szCs w:val="28"/>
            </w:rPr>
            <w:fldChar w:fldCharType="begin"/>
          </w:r>
          <w:r>
            <w:rPr>
              <w:sz w:val="28"/>
              <w:szCs w:val="28"/>
            </w:rPr>
            <w:instrText xml:space="preserve"> PAGEREF _Toc18740 </w:instrText>
          </w:r>
          <w:r>
            <w:rPr>
              <w:sz w:val="28"/>
              <w:szCs w:val="28"/>
            </w:rPr>
            <w:fldChar w:fldCharType="separate"/>
          </w:r>
          <w:r>
            <w:rPr>
              <w:sz w:val="28"/>
              <w:szCs w:val="28"/>
            </w:rPr>
            <w:t>34</w:t>
          </w:r>
          <w:r>
            <w:rPr>
              <w:sz w:val="28"/>
              <w:szCs w:val="28"/>
            </w:rPr>
            <w:fldChar w:fldCharType="end"/>
          </w:r>
          <w:r>
            <w:rPr>
              <w:sz w:val="28"/>
              <w:szCs w:val="28"/>
            </w:rPr>
            <w:fldChar w:fldCharType="end"/>
          </w:r>
        </w:p>
        <w:p>
          <w:pPr>
            <w:pStyle w:val="32"/>
            <w:tabs>
              <w:tab w:val="right" w:leader="dot" w:pos="8306"/>
            </w:tabs>
            <w:rPr>
              <w:sz w:val="28"/>
              <w:szCs w:val="28"/>
            </w:rPr>
          </w:pPr>
          <w:r>
            <w:fldChar w:fldCharType="begin"/>
          </w:r>
          <w:r>
            <w:instrText xml:space="preserve"> HYPERLINK \l "_Toc8784" </w:instrText>
          </w:r>
          <w:r>
            <w:fldChar w:fldCharType="separate"/>
          </w:r>
          <w:r>
            <w:rPr>
              <w:rFonts w:hint="eastAsia"/>
              <w:sz w:val="28"/>
              <w:szCs w:val="28"/>
            </w:rPr>
            <w:t>七、环境影响分析</w:t>
          </w:r>
          <w:r>
            <w:rPr>
              <w:sz w:val="28"/>
              <w:szCs w:val="28"/>
            </w:rPr>
            <w:tab/>
          </w:r>
          <w:r>
            <w:rPr>
              <w:sz w:val="28"/>
              <w:szCs w:val="28"/>
            </w:rPr>
            <w:fldChar w:fldCharType="begin"/>
          </w:r>
          <w:r>
            <w:rPr>
              <w:sz w:val="28"/>
              <w:szCs w:val="28"/>
            </w:rPr>
            <w:instrText xml:space="preserve"> PAGEREF _Toc8784 </w:instrText>
          </w:r>
          <w:r>
            <w:rPr>
              <w:sz w:val="28"/>
              <w:szCs w:val="28"/>
            </w:rPr>
            <w:fldChar w:fldCharType="separate"/>
          </w:r>
          <w:r>
            <w:rPr>
              <w:sz w:val="28"/>
              <w:szCs w:val="28"/>
            </w:rPr>
            <w:t>35</w:t>
          </w:r>
          <w:r>
            <w:rPr>
              <w:sz w:val="28"/>
              <w:szCs w:val="28"/>
            </w:rPr>
            <w:fldChar w:fldCharType="end"/>
          </w:r>
          <w:r>
            <w:rPr>
              <w:sz w:val="28"/>
              <w:szCs w:val="28"/>
            </w:rPr>
            <w:fldChar w:fldCharType="end"/>
          </w:r>
        </w:p>
        <w:p>
          <w:pPr>
            <w:pStyle w:val="32"/>
            <w:tabs>
              <w:tab w:val="right" w:leader="dot" w:pos="8306"/>
            </w:tabs>
            <w:rPr>
              <w:sz w:val="28"/>
              <w:szCs w:val="28"/>
            </w:rPr>
          </w:pPr>
          <w:r>
            <w:fldChar w:fldCharType="begin"/>
          </w:r>
          <w:r>
            <w:instrText xml:space="preserve"> HYPERLINK \l "_Toc16101" </w:instrText>
          </w:r>
          <w:r>
            <w:fldChar w:fldCharType="separate"/>
          </w:r>
          <w:r>
            <w:rPr>
              <w:rFonts w:hint="eastAsia"/>
              <w:sz w:val="28"/>
              <w:szCs w:val="28"/>
            </w:rPr>
            <w:t>八、</w:t>
          </w:r>
          <w:r>
            <w:rPr>
              <w:sz w:val="28"/>
              <w:szCs w:val="28"/>
            </w:rPr>
            <w:t>建设项目拟采取的防治措施及预期治理效果</w:t>
          </w:r>
          <w:r>
            <w:rPr>
              <w:sz w:val="28"/>
              <w:szCs w:val="28"/>
            </w:rPr>
            <w:tab/>
          </w:r>
          <w:r>
            <w:rPr>
              <w:sz w:val="28"/>
              <w:szCs w:val="28"/>
            </w:rPr>
            <w:fldChar w:fldCharType="begin"/>
          </w:r>
          <w:r>
            <w:rPr>
              <w:sz w:val="28"/>
              <w:szCs w:val="28"/>
            </w:rPr>
            <w:instrText xml:space="preserve"> PAGEREF _Toc16101 </w:instrText>
          </w:r>
          <w:r>
            <w:rPr>
              <w:sz w:val="28"/>
              <w:szCs w:val="28"/>
            </w:rPr>
            <w:fldChar w:fldCharType="separate"/>
          </w:r>
          <w:r>
            <w:rPr>
              <w:sz w:val="28"/>
              <w:szCs w:val="28"/>
            </w:rPr>
            <w:t>50</w:t>
          </w:r>
          <w:r>
            <w:rPr>
              <w:sz w:val="28"/>
              <w:szCs w:val="28"/>
            </w:rPr>
            <w:fldChar w:fldCharType="end"/>
          </w:r>
          <w:r>
            <w:rPr>
              <w:sz w:val="28"/>
              <w:szCs w:val="28"/>
            </w:rPr>
            <w:fldChar w:fldCharType="end"/>
          </w:r>
        </w:p>
        <w:p>
          <w:pPr>
            <w:pStyle w:val="32"/>
            <w:tabs>
              <w:tab w:val="right" w:leader="dot" w:pos="8306"/>
            </w:tabs>
          </w:pPr>
          <w:r>
            <w:fldChar w:fldCharType="begin"/>
          </w:r>
          <w:r>
            <w:instrText xml:space="preserve"> HYPERLINK \l "_Toc6490" </w:instrText>
          </w:r>
          <w:r>
            <w:fldChar w:fldCharType="separate"/>
          </w:r>
          <w:r>
            <w:rPr>
              <w:rFonts w:hint="eastAsia"/>
              <w:sz w:val="28"/>
              <w:szCs w:val="28"/>
            </w:rPr>
            <w:t>九</w:t>
          </w:r>
          <w:r>
            <w:rPr>
              <w:sz w:val="28"/>
              <w:szCs w:val="28"/>
            </w:rPr>
            <w:t>、结论与建议</w:t>
          </w:r>
          <w:r>
            <w:rPr>
              <w:sz w:val="28"/>
              <w:szCs w:val="28"/>
            </w:rPr>
            <w:tab/>
          </w:r>
          <w:r>
            <w:rPr>
              <w:sz w:val="28"/>
              <w:szCs w:val="28"/>
            </w:rPr>
            <w:fldChar w:fldCharType="begin"/>
          </w:r>
          <w:r>
            <w:rPr>
              <w:sz w:val="28"/>
              <w:szCs w:val="28"/>
            </w:rPr>
            <w:instrText xml:space="preserve"> PAGEREF _Toc6490 </w:instrText>
          </w:r>
          <w:r>
            <w:rPr>
              <w:sz w:val="28"/>
              <w:szCs w:val="28"/>
            </w:rPr>
            <w:fldChar w:fldCharType="separate"/>
          </w:r>
          <w:r>
            <w:rPr>
              <w:sz w:val="28"/>
              <w:szCs w:val="28"/>
            </w:rPr>
            <w:t>51</w:t>
          </w:r>
          <w:r>
            <w:rPr>
              <w:sz w:val="28"/>
              <w:szCs w:val="28"/>
            </w:rPr>
            <w:fldChar w:fldCharType="end"/>
          </w:r>
          <w:r>
            <w:rPr>
              <w:sz w:val="28"/>
              <w:szCs w:val="28"/>
            </w:rPr>
            <w:fldChar w:fldCharType="end"/>
          </w:r>
        </w:p>
        <w:p>
          <w:pPr>
            <w:ind w:firstLine="480" w:firstLineChars="200"/>
          </w:pPr>
          <w:r>
            <w:rPr>
              <w:rFonts w:hint="eastAsia"/>
            </w:rPr>
            <w:fldChar w:fldCharType="end"/>
          </w:r>
        </w:p>
      </w:sdtContent>
    </w:sdt>
    <w:p/>
    <w:p/>
    <w:p>
      <w:pPr>
        <w:pStyle w:val="21"/>
      </w:pPr>
    </w:p>
    <w:p>
      <w:pPr>
        <w:pStyle w:val="26"/>
      </w:pPr>
    </w:p>
    <w:p/>
    <w:p/>
    <w:p/>
    <w:p/>
    <w:p/>
    <w:p/>
    <w:p/>
    <w:p/>
    <w:p>
      <w:pPr>
        <w:ind w:firstLine="480" w:firstLineChars="200"/>
        <w:rPr>
          <w:rFonts w:ascii="Times New Roman" w:hAnsi="Times New Roman" w:cs="Times New Roman"/>
        </w:rPr>
      </w:pPr>
    </w:p>
    <w:p>
      <w:pPr>
        <w:ind w:firstLine="482" w:firstLineChars="200"/>
        <w:rPr>
          <w:rFonts w:ascii="Times New Roman" w:hAnsi="Times New Roman" w:cs="Times New Roman"/>
          <w:b/>
          <w:bCs/>
          <w:highlight w:val="none"/>
        </w:rPr>
      </w:pPr>
      <w:r>
        <w:rPr>
          <w:rFonts w:hint="eastAsia" w:ascii="Times New Roman" w:hAnsi="Times New Roman" w:cs="Times New Roman"/>
          <w:b/>
          <w:bCs/>
          <w:highlight w:val="none"/>
        </w:rPr>
        <w:t>附件：</w:t>
      </w:r>
    </w:p>
    <w:p>
      <w:pPr>
        <w:ind w:firstLine="480" w:firstLineChars="200"/>
        <w:rPr>
          <w:rFonts w:ascii="Times New Roman" w:hAnsi="Times New Roman" w:cs="Times New Roman"/>
          <w:highlight w:val="none"/>
        </w:rPr>
      </w:pPr>
      <w:r>
        <w:rPr>
          <w:rFonts w:ascii="Times New Roman" w:hAnsi="Times New Roman" w:cs="Times New Roman"/>
          <w:highlight w:val="none"/>
        </w:rPr>
        <w:t>附件1  环评委托书</w:t>
      </w:r>
    </w:p>
    <w:p>
      <w:pPr>
        <w:ind w:firstLine="480" w:firstLineChars="200"/>
        <w:rPr>
          <w:rFonts w:ascii="Times New Roman" w:hAnsi="Times New Roman" w:cs="Times New Roman"/>
          <w:highlight w:val="none"/>
        </w:rPr>
      </w:pPr>
      <w:r>
        <w:rPr>
          <w:rFonts w:ascii="Times New Roman" w:hAnsi="Times New Roman" w:cs="Times New Roman"/>
          <w:highlight w:val="none"/>
        </w:rPr>
        <w:t xml:space="preserve">附件2  </w:t>
      </w:r>
      <w:r>
        <w:rPr>
          <w:rFonts w:hint="eastAsia" w:ascii="Times New Roman" w:hAnsi="Times New Roman" w:cs="Times New Roman"/>
          <w:highlight w:val="none"/>
        </w:rPr>
        <w:t>项目历年环评批复</w:t>
      </w:r>
      <w:r>
        <w:rPr>
          <w:rFonts w:ascii="Times New Roman" w:hAnsi="Times New Roman" w:cs="Times New Roman"/>
          <w:highlight w:val="none"/>
        </w:rPr>
        <w:t xml:space="preserve"> </w:t>
      </w:r>
    </w:p>
    <w:p>
      <w:pPr>
        <w:ind w:firstLine="480" w:firstLineChars="200"/>
        <w:rPr>
          <w:rFonts w:ascii="Times New Roman" w:hAnsi="Times New Roman" w:cs="Times New Roman"/>
          <w:highlight w:val="none"/>
        </w:rPr>
      </w:pPr>
      <w:r>
        <w:rPr>
          <w:rFonts w:ascii="Times New Roman" w:hAnsi="Times New Roman" w:cs="Times New Roman"/>
          <w:highlight w:val="none"/>
        </w:rPr>
        <w:t xml:space="preserve">附件3  </w:t>
      </w:r>
      <w:r>
        <w:rPr>
          <w:rFonts w:hint="eastAsia" w:ascii="Times New Roman" w:hAnsi="Times New Roman" w:cs="Times New Roman"/>
          <w:highlight w:val="none"/>
        </w:rPr>
        <w:t>项目历年竣工环境保护验收意见</w:t>
      </w:r>
    </w:p>
    <w:p>
      <w:pPr>
        <w:ind w:firstLine="480" w:firstLineChars="200"/>
        <w:rPr>
          <w:rFonts w:ascii="Times New Roman" w:hAnsi="Times New Roman" w:cs="Times New Roman"/>
          <w:highlight w:val="none"/>
        </w:rPr>
      </w:pPr>
      <w:r>
        <w:rPr>
          <w:rFonts w:ascii="Times New Roman" w:hAnsi="Times New Roman" w:cs="Times New Roman"/>
          <w:highlight w:val="none"/>
        </w:rPr>
        <w:t xml:space="preserve">附件4  </w:t>
      </w:r>
      <w:r>
        <w:rPr>
          <w:rFonts w:hint="eastAsia" w:ascii="Times New Roman" w:hAnsi="Times New Roman" w:cs="Times New Roman"/>
          <w:highlight w:val="none"/>
        </w:rPr>
        <w:t>应急预案备案登记表</w:t>
      </w:r>
    </w:p>
    <w:p>
      <w:pPr>
        <w:pStyle w:val="2"/>
        <w:spacing w:after="0"/>
        <w:ind w:firstLine="480" w:firstLineChars="200"/>
        <w:rPr>
          <w:rFonts w:hint="eastAsia" w:eastAsiaTheme="minorEastAsia"/>
          <w:highlight w:val="none"/>
          <w:lang w:val="en-US" w:eastAsia="zh-CN"/>
        </w:rPr>
      </w:pPr>
      <w:r>
        <w:rPr>
          <w:rFonts w:ascii="Times New Roman" w:hAnsi="Times New Roman" w:cs="Times New Roman"/>
          <w:highlight w:val="none"/>
        </w:rPr>
        <w:t xml:space="preserve">附件5  </w:t>
      </w:r>
      <w:r>
        <w:rPr>
          <w:rFonts w:hint="eastAsia" w:ascii="Times New Roman" w:hAnsi="Times New Roman" w:cs="Times New Roman"/>
          <w:highlight w:val="none"/>
        </w:rPr>
        <w:t>9-11月常规监测</w:t>
      </w:r>
      <w:r>
        <w:rPr>
          <w:rFonts w:hint="eastAsia" w:ascii="Times New Roman" w:hAnsi="Times New Roman" w:cs="Times New Roman"/>
          <w:highlight w:val="none"/>
          <w:lang w:eastAsia="zh-CN"/>
        </w:rPr>
        <w:t>报告及质保单</w:t>
      </w:r>
    </w:p>
    <w:p>
      <w:pPr>
        <w:ind w:firstLine="480" w:firstLineChars="200"/>
        <w:rPr>
          <w:rFonts w:ascii="Times New Roman" w:hAnsi="Times New Roman" w:cs="Times New Roman"/>
          <w:highlight w:val="none"/>
        </w:rPr>
      </w:pPr>
      <w:r>
        <w:rPr>
          <w:rFonts w:hint="eastAsia" w:ascii="Times New Roman" w:hAnsi="Times New Roman" w:cs="Times New Roman"/>
          <w:highlight w:val="none"/>
        </w:rPr>
        <w:t>附件6  排污权指标</w:t>
      </w:r>
    </w:p>
    <w:p>
      <w:pPr>
        <w:ind w:firstLine="480" w:firstLineChars="200"/>
        <w:rPr>
          <w:rFonts w:ascii="Times New Roman" w:hAnsi="Times New Roman" w:cs="Times New Roman"/>
          <w:highlight w:val="none"/>
        </w:rPr>
      </w:pPr>
      <w:r>
        <w:rPr>
          <w:rFonts w:ascii="Times New Roman" w:hAnsi="Times New Roman" w:cs="Times New Roman"/>
          <w:highlight w:val="none"/>
        </w:rPr>
        <w:t>附件</w:t>
      </w:r>
      <w:r>
        <w:rPr>
          <w:rFonts w:hint="eastAsia" w:ascii="Times New Roman" w:hAnsi="Times New Roman" w:cs="Times New Roman"/>
          <w:highlight w:val="none"/>
        </w:rPr>
        <w:t>7</w:t>
      </w:r>
      <w:r>
        <w:rPr>
          <w:rFonts w:ascii="Times New Roman" w:hAnsi="Times New Roman" w:cs="Times New Roman"/>
          <w:highlight w:val="none"/>
        </w:rPr>
        <w:t xml:space="preserve">  营业执照</w:t>
      </w:r>
    </w:p>
    <w:p>
      <w:pPr>
        <w:ind w:firstLine="480" w:firstLineChars="200"/>
        <w:rPr>
          <w:rFonts w:hint="default" w:ascii="Times New Roman" w:hAnsi="Times New Roman" w:cs="Times New Roman"/>
          <w:highlight w:val="none"/>
          <w:lang w:val="en-US" w:eastAsia="zh-CN"/>
        </w:rPr>
      </w:pPr>
      <w:r>
        <w:rPr>
          <w:rFonts w:hint="eastAsia" w:ascii="Times New Roman" w:hAnsi="Times New Roman" w:cs="Times New Roman"/>
          <w:highlight w:val="none"/>
          <w:lang w:eastAsia="zh-CN"/>
        </w:rPr>
        <w:t>附件</w:t>
      </w:r>
      <w:r>
        <w:rPr>
          <w:rFonts w:hint="eastAsia" w:ascii="Times New Roman" w:hAnsi="Times New Roman" w:cs="Times New Roman"/>
          <w:highlight w:val="none"/>
          <w:lang w:val="en-US" w:eastAsia="zh-CN"/>
        </w:rPr>
        <w:t>8  气质分析报告</w:t>
      </w:r>
    </w:p>
    <w:p>
      <w:pPr>
        <w:pStyle w:val="15"/>
        <w:ind w:firstLine="241"/>
        <w:rPr>
          <w:b/>
          <w:bCs/>
          <w:highlight w:val="none"/>
        </w:rPr>
      </w:pPr>
      <w:r>
        <w:rPr>
          <w:rFonts w:hint="eastAsia"/>
          <w:b/>
          <w:bCs/>
          <w:highlight w:val="none"/>
        </w:rPr>
        <w:t>附图：</w:t>
      </w:r>
    </w:p>
    <w:p>
      <w:pPr>
        <w:ind w:firstLine="480" w:firstLineChars="200"/>
        <w:rPr>
          <w:rFonts w:ascii="Times New Roman" w:hAnsi="Times New Roman" w:cs="Times New Roman"/>
          <w:highlight w:val="none"/>
        </w:rPr>
      </w:pPr>
      <w:r>
        <w:rPr>
          <w:rFonts w:ascii="Times New Roman" w:hAnsi="Times New Roman" w:cs="Times New Roman"/>
          <w:highlight w:val="none"/>
        </w:rPr>
        <w:t>附图1</w:t>
      </w:r>
      <w:r>
        <w:rPr>
          <w:rFonts w:hint="eastAsia" w:ascii="Times New Roman" w:hAnsi="Times New Roman" w:cs="Times New Roman"/>
          <w:highlight w:val="none"/>
        </w:rPr>
        <w:t>-1、1-2</w:t>
      </w:r>
      <w:r>
        <w:rPr>
          <w:rFonts w:ascii="Times New Roman" w:hAnsi="Times New Roman" w:cs="Times New Roman"/>
          <w:highlight w:val="none"/>
        </w:rPr>
        <w:t xml:space="preserve">  项目地理位置图</w:t>
      </w:r>
    </w:p>
    <w:p>
      <w:pPr>
        <w:ind w:firstLine="480" w:firstLineChars="200"/>
        <w:rPr>
          <w:rFonts w:ascii="Times New Roman" w:hAnsi="Times New Roman" w:cs="Times New Roman"/>
          <w:highlight w:val="none"/>
        </w:rPr>
      </w:pPr>
      <w:r>
        <w:rPr>
          <w:rFonts w:ascii="Times New Roman" w:hAnsi="Times New Roman" w:cs="Times New Roman"/>
          <w:highlight w:val="none"/>
        </w:rPr>
        <w:t>附图2  环境监测布点图</w:t>
      </w:r>
    </w:p>
    <w:p>
      <w:pPr>
        <w:ind w:firstLine="480" w:firstLineChars="200"/>
        <w:rPr>
          <w:rFonts w:ascii="Times New Roman" w:hAnsi="Times New Roman" w:cs="Times New Roman"/>
          <w:highlight w:val="none"/>
        </w:rPr>
      </w:pPr>
      <w:r>
        <w:rPr>
          <w:rFonts w:ascii="Times New Roman" w:hAnsi="Times New Roman" w:cs="Times New Roman"/>
          <w:highlight w:val="none"/>
        </w:rPr>
        <w:t>附图3  环境保护目标图</w:t>
      </w:r>
    </w:p>
    <w:p>
      <w:pPr>
        <w:ind w:firstLine="480" w:firstLineChars="200"/>
        <w:rPr>
          <w:rFonts w:ascii="Times New Roman" w:hAnsi="Times New Roman" w:cs="Times New Roman"/>
          <w:highlight w:val="none"/>
        </w:rPr>
      </w:pPr>
      <w:r>
        <w:rPr>
          <w:rFonts w:ascii="Times New Roman" w:hAnsi="Times New Roman" w:cs="Times New Roman"/>
          <w:highlight w:val="none"/>
        </w:rPr>
        <w:t>附图4  项目平面布置图</w:t>
      </w:r>
    </w:p>
    <w:p>
      <w:pPr>
        <w:ind w:firstLine="480" w:firstLineChars="200"/>
        <w:rPr>
          <w:rFonts w:ascii="Times New Roman" w:hAnsi="Times New Roman" w:cs="Times New Roman"/>
          <w:highlight w:val="none"/>
        </w:rPr>
      </w:pPr>
      <w:r>
        <w:rPr>
          <w:rFonts w:hint="eastAsia" w:ascii="Times New Roman" w:hAnsi="Times New Roman" w:cs="Times New Roman"/>
          <w:highlight w:val="none"/>
        </w:rPr>
        <w:t>附图5  锅炉房2F平面布置示意图</w:t>
      </w:r>
    </w:p>
    <w:p>
      <w:pPr>
        <w:ind w:firstLine="480" w:firstLineChars="200"/>
        <w:rPr>
          <w:rFonts w:ascii="Times New Roman" w:hAnsi="Times New Roman" w:cs="Times New Roman"/>
          <w:highlight w:val="none"/>
        </w:rPr>
      </w:pPr>
      <w:r>
        <w:rPr>
          <w:rFonts w:hint="eastAsia" w:ascii="Times New Roman" w:hAnsi="Times New Roman" w:cs="Times New Roman"/>
          <w:highlight w:val="none"/>
        </w:rPr>
        <w:t>附图</w:t>
      </w:r>
      <w:r>
        <w:rPr>
          <w:rFonts w:hint="eastAsia" w:ascii="Times New Roman" w:hAnsi="Times New Roman" w:cs="Times New Roman"/>
          <w:highlight w:val="none"/>
          <w:lang w:val="en-US" w:eastAsia="zh-CN"/>
        </w:rPr>
        <w:t>6</w:t>
      </w:r>
      <w:r>
        <w:rPr>
          <w:rFonts w:hint="eastAsia" w:ascii="Times New Roman" w:hAnsi="Times New Roman" w:cs="Times New Roman"/>
          <w:highlight w:val="none"/>
        </w:rPr>
        <w:t xml:space="preserve">  经开区污水管网分布图</w:t>
      </w:r>
    </w:p>
    <w:p>
      <w:pPr>
        <w:ind w:firstLine="480" w:firstLineChars="200"/>
        <w:rPr>
          <w:rFonts w:ascii="Times New Roman" w:hAnsi="Times New Roman" w:cs="Times New Roman"/>
          <w:highlight w:val="none"/>
        </w:rPr>
      </w:pPr>
      <w:r>
        <w:rPr>
          <w:rFonts w:hint="eastAsia" w:ascii="Times New Roman" w:hAnsi="Times New Roman" w:cs="Times New Roman"/>
          <w:highlight w:val="none"/>
        </w:rPr>
        <w:t>附图</w:t>
      </w:r>
      <w:r>
        <w:rPr>
          <w:rFonts w:hint="eastAsia" w:ascii="Times New Roman" w:hAnsi="Times New Roman" w:cs="Times New Roman"/>
          <w:highlight w:val="none"/>
          <w:lang w:val="en-US" w:eastAsia="zh-CN"/>
        </w:rPr>
        <w:t>7</w:t>
      </w:r>
      <w:r>
        <w:rPr>
          <w:rFonts w:ascii="Times New Roman" w:hAnsi="Times New Roman" w:cs="Times New Roman"/>
          <w:highlight w:val="none"/>
        </w:rPr>
        <w:t xml:space="preserve">  项目周边及现场照片图</w:t>
      </w:r>
    </w:p>
    <w:p>
      <w:pPr>
        <w:ind w:firstLine="241" w:firstLineChars="100"/>
        <w:rPr>
          <w:rFonts w:hint="eastAsia"/>
          <w:b/>
          <w:bCs/>
          <w:highlight w:val="none"/>
          <w:lang w:val="en-US" w:eastAsia="zh-CN"/>
        </w:rPr>
      </w:pPr>
      <w:r>
        <w:rPr>
          <w:rFonts w:hint="eastAsia"/>
          <w:b/>
          <w:bCs/>
          <w:highlight w:val="none"/>
          <w:lang w:val="en-US" w:eastAsia="zh-CN"/>
        </w:rPr>
        <w:t>自查表：</w:t>
      </w:r>
    </w:p>
    <w:p>
      <w:pPr>
        <w:ind w:firstLine="480" w:firstLineChars="200"/>
        <w:rPr>
          <w:rFonts w:hint="eastAsia" w:ascii="Times New Roman" w:hAnsi="Times New Roman" w:cs="Times New Roman"/>
          <w:highlight w:val="none"/>
        </w:rPr>
      </w:pPr>
      <w:r>
        <w:rPr>
          <w:rFonts w:hint="eastAsia" w:ascii="Times New Roman" w:hAnsi="Times New Roman" w:cs="Times New Roman"/>
          <w:highlight w:val="none"/>
          <w:lang w:val="en-US" w:eastAsia="zh-CN"/>
        </w:rPr>
        <w:t xml:space="preserve">1  </w:t>
      </w:r>
      <w:r>
        <w:rPr>
          <w:rFonts w:hint="eastAsia" w:ascii="Times New Roman" w:hAnsi="Times New Roman" w:cs="Times New Roman"/>
          <w:highlight w:val="none"/>
        </w:rPr>
        <w:t>大气环境影响评价自查表</w:t>
      </w:r>
    </w:p>
    <w:p>
      <w:pPr>
        <w:ind w:firstLine="480" w:firstLineChars="200"/>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2  地表水环境影响评价自查表</w:t>
      </w:r>
    </w:p>
    <w:p>
      <w:pPr>
        <w:ind w:firstLine="480" w:firstLineChars="200"/>
        <w:rPr>
          <w:rFonts w:hint="eastAsia" w:ascii="Times New Roman" w:hAnsi="Times New Roman" w:cs="Times New Roman"/>
          <w:highlight w:val="none"/>
        </w:rPr>
      </w:pPr>
      <w:r>
        <w:rPr>
          <w:rFonts w:hint="eastAsia" w:ascii="Times New Roman" w:hAnsi="Times New Roman" w:cs="Times New Roman"/>
          <w:highlight w:val="none"/>
          <w:lang w:val="en-US" w:eastAsia="zh-CN"/>
        </w:rPr>
        <w:t xml:space="preserve">3  </w:t>
      </w:r>
      <w:r>
        <w:rPr>
          <w:rFonts w:hint="eastAsia" w:ascii="Times New Roman" w:hAnsi="Times New Roman" w:cs="Times New Roman"/>
          <w:highlight w:val="none"/>
        </w:rPr>
        <w:t>环境风险评价自查表</w:t>
      </w:r>
    </w:p>
    <w:p>
      <w:pPr>
        <w:ind w:firstLine="241" w:firstLineChars="100"/>
        <w:rPr>
          <w:highlight w:val="none"/>
        </w:rPr>
      </w:pPr>
      <w:bookmarkStart w:id="10" w:name="_GoBack"/>
      <w:bookmarkEnd w:id="10"/>
      <w:r>
        <w:rPr>
          <w:b/>
          <w:bCs/>
          <w:highlight w:val="none"/>
        </w:rPr>
        <w:t>附表</w:t>
      </w:r>
      <w:r>
        <w:rPr>
          <w:rFonts w:hint="eastAsia"/>
          <w:b/>
          <w:bCs/>
          <w:highlight w:val="none"/>
        </w:rPr>
        <w:t>：</w:t>
      </w:r>
    </w:p>
    <w:p>
      <w:pPr>
        <w:ind w:firstLine="480" w:firstLineChars="200"/>
        <w:rPr>
          <w:highlight w:val="yellow"/>
        </w:rPr>
      </w:pPr>
      <w:r>
        <w:rPr>
          <w:highlight w:val="none"/>
        </w:rPr>
        <w:t>建设项目环评审批基础信息表</w:t>
      </w:r>
    </w:p>
    <w:p>
      <w:p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3"/>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jc w:val="center"/>
        <w:textAlignment w:val="auto"/>
        <w:rPr>
          <w:rFonts w:hint="eastAsia" w:ascii="Times New Roman" w:hAnsi="Times New Roman" w:cs="Times New Roman"/>
          <w:b/>
          <w:bCs/>
          <w:color w:val="auto"/>
          <w:sz w:val="28"/>
          <w:szCs w:val="28"/>
          <w:u w:val="single"/>
          <w:lang w:eastAsia="zh-CN"/>
        </w:rPr>
      </w:pPr>
      <w:r>
        <w:rPr>
          <w:rFonts w:hint="eastAsia" w:ascii="Times New Roman" w:hAnsi="Times New Roman" w:cs="Times New Roman"/>
          <w:b/>
          <w:bCs/>
          <w:color w:val="auto"/>
          <w:sz w:val="28"/>
          <w:szCs w:val="28"/>
          <w:u w:val="none"/>
          <w:lang w:eastAsia="zh-CN"/>
        </w:rPr>
        <w:t>修改清单对照表</w:t>
      </w:r>
    </w:p>
    <w:tbl>
      <w:tblPr>
        <w:tblStyle w:val="18"/>
        <w:tblW w:w="141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6926"/>
        <w:gridCol w:w="6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bCs/>
                <w:color w:val="auto"/>
                <w:sz w:val="21"/>
                <w:szCs w:val="21"/>
                <w:u w:val="none"/>
                <w:vertAlign w:val="baseline"/>
                <w:lang w:val="en-US" w:eastAsia="zh-CN"/>
              </w:rPr>
            </w:pPr>
            <w:r>
              <w:rPr>
                <w:rFonts w:hint="eastAsia" w:ascii="Times New Roman" w:hAnsi="Times New Roman" w:cs="Times New Roman"/>
                <w:b/>
                <w:bCs/>
                <w:color w:val="auto"/>
                <w:sz w:val="21"/>
                <w:szCs w:val="21"/>
                <w:u w:val="none"/>
                <w:vertAlign w:val="baseline"/>
                <w:lang w:val="en-US" w:eastAsia="zh-CN"/>
              </w:rPr>
              <w:t>序号</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eastAsia" w:ascii="Times New Roman" w:hAnsi="Times New Roman" w:cs="Times New Roman"/>
                <w:b/>
                <w:bCs/>
                <w:color w:val="auto"/>
                <w:sz w:val="21"/>
                <w:szCs w:val="21"/>
                <w:u w:val="none"/>
                <w:vertAlign w:val="baseline"/>
                <w:lang w:eastAsia="zh-CN"/>
              </w:rPr>
            </w:pPr>
            <w:r>
              <w:rPr>
                <w:rFonts w:hint="eastAsia" w:ascii="Times New Roman" w:hAnsi="Times New Roman" w:cs="Times New Roman"/>
                <w:b/>
                <w:bCs/>
                <w:color w:val="auto"/>
                <w:sz w:val="21"/>
                <w:szCs w:val="21"/>
                <w:u w:val="none"/>
                <w:vertAlign w:val="baseline"/>
                <w:lang w:eastAsia="zh-CN"/>
              </w:rPr>
              <w:t>专家意见</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eastAsia" w:ascii="Times New Roman" w:hAnsi="Times New Roman" w:cs="Times New Roman"/>
                <w:b/>
                <w:bCs/>
                <w:color w:val="auto"/>
                <w:sz w:val="21"/>
                <w:szCs w:val="21"/>
                <w:u w:val="none"/>
                <w:vertAlign w:val="baseline"/>
                <w:lang w:eastAsia="zh-CN"/>
              </w:rPr>
            </w:pPr>
            <w:r>
              <w:rPr>
                <w:rFonts w:hint="eastAsia" w:ascii="Times New Roman" w:hAnsi="Times New Roman" w:cs="Times New Roman"/>
                <w:b/>
                <w:bCs/>
                <w:color w:val="auto"/>
                <w:sz w:val="21"/>
                <w:szCs w:val="21"/>
                <w:u w:val="none"/>
                <w:vertAlign w:val="baseline"/>
                <w:lang w:eastAsia="zh-CN"/>
              </w:rPr>
              <w:t>修改说明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1</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强化企业现状调查，</w:t>
            </w:r>
            <w:r>
              <w:rPr>
                <w:rFonts w:hint="eastAsia" w:ascii="Times New Roman" w:hAnsi="Times New Roman" w:cs="Times New Roman"/>
                <w:b w:val="0"/>
                <w:bCs w:val="0"/>
                <w:color w:val="auto"/>
                <w:sz w:val="21"/>
                <w:szCs w:val="21"/>
                <w:u w:val="none"/>
                <w:vertAlign w:val="baseline"/>
                <w:lang w:val="en-US" w:eastAsia="zh-CN"/>
              </w:rPr>
              <w:t>完善原有产排污情况分析</w:t>
            </w:r>
            <w:r>
              <w:rPr>
                <w:rFonts w:hint="eastAsia" w:ascii="Times New Roman" w:cs="Times New Roman"/>
                <w:b w:val="0"/>
                <w:bCs w:val="0"/>
                <w:color w:val="auto"/>
                <w:sz w:val="21"/>
                <w:szCs w:val="21"/>
                <w:u w:val="none"/>
                <w:vertAlign w:val="baseline"/>
                <w:lang w:val="en-US" w:eastAsia="zh-CN"/>
              </w:rPr>
              <w:t>。</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default" w:ascii="Times New Roman" w:hAnsi="Times New Roman" w:eastAsia="宋体" w:cs="Times New Roman"/>
                <w:b w:val="0"/>
                <w:bCs w:val="0"/>
                <w:color w:val="auto"/>
                <w:sz w:val="21"/>
                <w:szCs w:val="21"/>
                <w:highlight w:val="none"/>
                <w:u w:val="none"/>
                <w:vertAlign w:val="baseline"/>
                <w:lang w:val="en-US" w:eastAsia="zh-CN"/>
              </w:rPr>
            </w:pPr>
            <w:r>
              <w:rPr>
                <w:rFonts w:hint="eastAsia" w:ascii="Times New Roman" w:hAnsi="Times New Roman" w:cs="Times New Roman"/>
                <w:b w:val="0"/>
                <w:bCs w:val="0"/>
                <w:color w:val="auto"/>
                <w:sz w:val="21"/>
                <w:szCs w:val="21"/>
                <w:highlight w:val="none"/>
                <w:u w:val="none"/>
                <w:vertAlign w:val="baseline"/>
                <w:lang w:eastAsia="zh-CN"/>
              </w:rPr>
              <w:t>已</w:t>
            </w:r>
            <w:r>
              <w:rPr>
                <w:rFonts w:hint="eastAsia" w:ascii="Times New Roman" w:cs="Times New Roman"/>
                <w:b w:val="0"/>
                <w:bCs w:val="0"/>
                <w:color w:val="auto"/>
                <w:sz w:val="21"/>
                <w:szCs w:val="21"/>
                <w:highlight w:val="none"/>
                <w:u w:val="none"/>
                <w:vertAlign w:val="baseline"/>
                <w:lang w:eastAsia="zh-CN"/>
              </w:rPr>
              <w:t>强化</w:t>
            </w:r>
            <w:r>
              <w:rPr>
                <w:rFonts w:hint="eastAsia" w:ascii="Times New Roman" w:hAnsi="Times New Roman" w:cs="Times New Roman"/>
                <w:b w:val="0"/>
                <w:bCs w:val="0"/>
                <w:color w:val="auto"/>
                <w:sz w:val="21"/>
                <w:szCs w:val="21"/>
                <w:u w:val="none"/>
                <w:vertAlign w:val="baseline"/>
                <w:lang w:eastAsia="zh-CN"/>
              </w:rPr>
              <w:t>强化企业现状调查，</w:t>
            </w:r>
            <w:r>
              <w:rPr>
                <w:rFonts w:hint="eastAsia" w:ascii="Times New Roman" w:cs="Times New Roman"/>
                <w:b w:val="0"/>
                <w:bCs w:val="0"/>
                <w:color w:val="auto"/>
                <w:sz w:val="21"/>
                <w:szCs w:val="21"/>
                <w:u w:val="none"/>
                <w:vertAlign w:val="baseline"/>
                <w:lang w:eastAsia="zh-CN"/>
              </w:rPr>
              <w:t>见</w:t>
            </w:r>
            <w:r>
              <w:rPr>
                <w:rFonts w:hint="eastAsia" w:ascii="Times New Roman" w:cs="Times New Roman"/>
                <w:b w:val="0"/>
                <w:bCs w:val="0"/>
                <w:color w:val="auto"/>
                <w:sz w:val="21"/>
                <w:szCs w:val="21"/>
                <w:u w:val="none"/>
                <w:vertAlign w:val="baseline"/>
                <w:lang w:val="en-US" w:eastAsia="zh-CN"/>
              </w:rPr>
              <w:t>P14；已</w:t>
            </w:r>
            <w:r>
              <w:rPr>
                <w:rFonts w:hint="eastAsia" w:ascii="Times New Roman" w:hAnsi="Times New Roman" w:cs="Times New Roman"/>
                <w:b w:val="0"/>
                <w:bCs w:val="0"/>
                <w:color w:val="auto"/>
                <w:sz w:val="21"/>
                <w:szCs w:val="21"/>
                <w:u w:val="none"/>
                <w:vertAlign w:val="baseline"/>
                <w:lang w:val="en-US" w:eastAsia="zh-CN"/>
              </w:rPr>
              <w:t>完善原有产排污情况分析</w:t>
            </w:r>
            <w:r>
              <w:rPr>
                <w:rFonts w:hint="eastAsia" w:ascii="Times New Roman" w:cs="Times New Roman"/>
                <w:b w:val="0"/>
                <w:bCs w:val="0"/>
                <w:color w:val="auto"/>
                <w:sz w:val="21"/>
                <w:szCs w:val="21"/>
                <w:u w:val="none"/>
                <w:vertAlign w:val="baseline"/>
                <w:lang w:val="en-US" w:eastAsia="zh-CN"/>
              </w:rPr>
              <w:t>，见P13-14。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2</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完善“三线一单”的相符性分析，核实项目环保投资，完善项目竣工验收表</w:t>
            </w:r>
            <w:r>
              <w:rPr>
                <w:rFonts w:hint="eastAsia" w:ascii="Times New Roman" w:cs="Times New Roman"/>
                <w:b w:val="0"/>
                <w:bCs w:val="0"/>
                <w:color w:val="auto"/>
                <w:sz w:val="21"/>
                <w:szCs w:val="21"/>
                <w:u w:val="none"/>
                <w:vertAlign w:val="baseline"/>
                <w:lang w:eastAsia="zh-CN"/>
              </w:rPr>
              <w:t>。</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default" w:ascii="Times New Roman" w:hAnsi="Times New Roman" w:eastAsia="宋体"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eastAsia="zh-CN"/>
              </w:rPr>
              <w:t>已</w:t>
            </w:r>
            <w:r>
              <w:rPr>
                <w:rFonts w:hint="eastAsia" w:ascii="Times New Roman" w:hAnsi="Times New Roman" w:cs="Times New Roman"/>
                <w:b w:val="0"/>
                <w:bCs w:val="0"/>
                <w:color w:val="auto"/>
                <w:sz w:val="21"/>
                <w:szCs w:val="21"/>
                <w:u w:val="none"/>
                <w:vertAlign w:val="baseline"/>
                <w:lang w:eastAsia="zh-CN"/>
              </w:rPr>
              <w:t>完善“三线一单”的相符性分析，</w:t>
            </w:r>
            <w:r>
              <w:rPr>
                <w:rFonts w:hint="eastAsia" w:ascii="Times New Roman" w:cs="Times New Roman"/>
                <w:b w:val="0"/>
                <w:bCs w:val="0"/>
                <w:color w:val="auto"/>
                <w:sz w:val="21"/>
                <w:szCs w:val="21"/>
                <w:u w:val="none"/>
                <w:vertAlign w:val="baseline"/>
                <w:lang w:eastAsia="zh-CN"/>
              </w:rPr>
              <w:t>见</w:t>
            </w:r>
            <w:r>
              <w:rPr>
                <w:rFonts w:hint="eastAsia" w:ascii="Times New Roman" w:cs="Times New Roman"/>
                <w:b w:val="0"/>
                <w:bCs w:val="0"/>
                <w:color w:val="auto"/>
                <w:sz w:val="21"/>
                <w:szCs w:val="21"/>
                <w:u w:val="none"/>
                <w:vertAlign w:val="baseline"/>
                <w:lang w:val="en-US" w:eastAsia="zh-CN"/>
              </w:rPr>
              <w:t>P6-7；已</w:t>
            </w:r>
            <w:r>
              <w:rPr>
                <w:rFonts w:hint="eastAsia" w:ascii="Times New Roman" w:hAnsi="Times New Roman" w:cs="Times New Roman"/>
                <w:b w:val="0"/>
                <w:bCs w:val="0"/>
                <w:color w:val="auto"/>
                <w:sz w:val="21"/>
                <w:szCs w:val="21"/>
                <w:u w:val="none"/>
                <w:vertAlign w:val="baseline"/>
                <w:lang w:eastAsia="zh-CN"/>
              </w:rPr>
              <w:t>核实项目环保投资，完善项目竣工验收表</w:t>
            </w:r>
            <w:r>
              <w:rPr>
                <w:rFonts w:hint="eastAsia" w:ascii="Times New Roman" w:cs="Times New Roman"/>
                <w:b w:val="0"/>
                <w:bCs w:val="0"/>
                <w:color w:val="auto"/>
                <w:sz w:val="21"/>
                <w:szCs w:val="21"/>
                <w:u w:val="none"/>
                <w:vertAlign w:val="baseline"/>
                <w:lang w:eastAsia="zh-CN"/>
              </w:rPr>
              <w:t>，见</w:t>
            </w:r>
            <w:r>
              <w:rPr>
                <w:rFonts w:hint="eastAsia" w:ascii="Times New Roman" w:cs="Times New Roman"/>
                <w:b w:val="0"/>
                <w:bCs w:val="0"/>
                <w:color w:val="auto"/>
                <w:sz w:val="21"/>
                <w:szCs w:val="21"/>
                <w:u w:val="none"/>
                <w:vertAlign w:val="baseline"/>
                <w:lang w:val="en-US" w:eastAsia="zh-CN"/>
              </w:rPr>
              <w:t>P48-49。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3</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核实企业油烟排气筒高度。</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val="en-US" w:eastAsia="zh-CN"/>
              </w:rPr>
              <w:t>已</w:t>
            </w:r>
            <w:r>
              <w:rPr>
                <w:rFonts w:hint="default" w:ascii="Times New Roman" w:hAnsi="Times New Roman" w:cs="Times New Roman"/>
                <w:b w:val="0"/>
                <w:bCs w:val="0"/>
                <w:color w:val="auto"/>
                <w:sz w:val="21"/>
                <w:szCs w:val="21"/>
                <w:u w:val="none"/>
                <w:vertAlign w:val="baseline"/>
                <w:lang w:val="en-US" w:eastAsia="zh-CN"/>
              </w:rPr>
              <w:t>核实企业油烟排气筒高度</w:t>
            </w:r>
            <w:r>
              <w:rPr>
                <w:rFonts w:hint="eastAsia" w:ascii="Times New Roman" w:cs="Times New Roman"/>
                <w:b w:val="0"/>
                <w:bCs w:val="0"/>
                <w:color w:val="auto"/>
                <w:sz w:val="21"/>
                <w:szCs w:val="21"/>
                <w:u w:val="none"/>
                <w:vertAlign w:val="baseline"/>
                <w:lang w:val="en-US" w:eastAsia="zh-CN"/>
              </w:rPr>
              <w:t>，见P7、P13.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4</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本项目仅涉及新增锅炉部分，进一步核实新增前后污染物的排放情况及影响分析。</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val="en-US" w:eastAsia="zh-CN"/>
              </w:rPr>
              <w:t>已</w:t>
            </w:r>
            <w:r>
              <w:rPr>
                <w:rFonts w:hint="default" w:ascii="Times New Roman" w:hAnsi="Times New Roman" w:cs="Times New Roman"/>
                <w:b w:val="0"/>
                <w:bCs w:val="0"/>
                <w:color w:val="auto"/>
                <w:sz w:val="21"/>
                <w:szCs w:val="21"/>
                <w:u w:val="none"/>
                <w:vertAlign w:val="baseline"/>
                <w:lang w:val="en-US" w:eastAsia="zh-CN"/>
              </w:rPr>
              <w:t>进一步核实新增前后污染物的排放情况及影响分析</w:t>
            </w:r>
            <w:r>
              <w:rPr>
                <w:rFonts w:hint="eastAsia" w:ascii="Times New Roman" w:cs="Times New Roman"/>
                <w:b w:val="0"/>
                <w:bCs w:val="0"/>
                <w:color w:val="auto"/>
                <w:sz w:val="21"/>
                <w:szCs w:val="21"/>
                <w:u w:val="none"/>
                <w:vertAlign w:val="baseline"/>
                <w:lang w:val="en-US" w:eastAsia="zh-CN"/>
              </w:rPr>
              <w:t>，见P33.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5</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补充分析大气污染防治措施。</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eastAsia="宋体" w:cs="Times New Roman"/>
                <w:b w:val="0"/>
                <w:bCs w:val="0"/>
                <w:color w:val="auto"/>
                <w:sz w:val="21"/>
                <w:szCs w:val="21"/>
                <w:highlight w:val="none"/>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5</w:t>
            </w:r>
            <w:r>
              <w:rPr>
                <w:rFonts w:hint="eastAsia" w:ascii="Times New Roman" w:hAnsi="Times New Roman" w:cs="Times New Roman"/>
                <w:b w:val="0"/>
                <w:bCs w:val="0"/>
                <w:color w:val="auto"/>
                <w:sz w:val="21"/>
                <w:szCs w:val="21"/>
                <w:u w:val="none"/>
                <w:vertAlign w:val="baseline"/>
                <w:lang w:eastAsia="zh-CN"/>
              </w:rPr>
              <w:t>、补充分析大气污染防治措施</w:t>
            </w:r>
            <w:r>
              <w:rPr>
                <w:rFonts w:hint="eastAsia" w:ascii="Times New Roman" w:cs="Times New Roman"/>
                <w:b w:val="0"/>
                <w:bCs w:val="0"/>
                <w:color w:val="auto"/>
                <w:sz w:val="21"/>
                <w:szCs w:val="21"/>
                <w:u w:val="none"/>
                <w:vertAlign w:val="baseline"/>
                <w:lang w:eastAsia="zh-CN"/>
              </w:rPr>
              <w:t>，见</w:t>
            </w:r>
            <w:r>
              <w:rPr>
                <w:rFonts w:hint="eastAsia" w:ascii="Times New Roman" w:cs="Times New Roman"/>
                <w:b w:val="0"/>
                <w:bCs w:val="0"/>
                <w:color w:val="auto"/>
                <w:sz w:val="21"/>
                <w:szCs w:val="21"/>
                <w:u w:val="none"/>
                <w:vertAlign w:val="baseline"/>
                <w:lang w:val="en-US" w:eastAsia="zh-CN"/>
              </w:rPr>
              <w:t>P41。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6</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报告表应对本项目与外环境的相容性做进一步分析。</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eastAsia="宋体"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val="en-US" w:eastAsia="zh-CN"/>
              </w:rPr>
              <w:t>已</w:t>
            </w:r>
            <w:r>
              <w:rPr>
                <w:rFonts w:hint="default" w:ascii="Times New Roman" w:hAnsi="Times New Roman" w:cs="Times New Roman"/>
                <w:b w:val="0"/>
                <w:bCs w:val="0"/>
                <w:color w:val="auto"/>
                <w:sz w:val="21"/>
                <w:szCs w:val="21"/>
                <w:u w:val="none"/>
                <w:vertAlign w:val="baseline"/>
                <w:lang w:val="en-US" w:eastAsia="zh-CN"/>
              </w:rPr>
              <w:t>对本项目与外环境的相容性做进一步分析</w:t>
            </w:r>
            <w:r>
              <w:rPr>
                <w:rFonts w:hint="eastAsia" w:ascii="Times New Roman" w:cs="Times New Roman"/>
                <w:b w:val="0"/>
                <w:bCs w:val="0"/>
                <w:color w:val="auto"/>
                <w:sz w:val="21"/>
                <w:szCs w:val="21"/>
                <w:u w:val="none"/>
                <w:vertAlign w:val="baseline"/>
                <w:lang w:val="en-US" w:eastAsia="zh-CN"/>
              </w:rPr>
              <w:t>，见P47。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hAnsi="Times New Roman" w:cs="Times New Roman"/>
                <w:b w:val="0"/>
                <w:bCs w:val="0"/>
                <w:color w:val="auto"/>
                <w:sz w:val="21"/>
                <w:szCs w:val="21"/>
                <w:u w:val="none"/>
                <w:vertAlign w:val="baseline"/>
                <w:lang w:val="en-US" w:eastAsia="zh-CN"/>
              </w:rPr>
              <w:t>7</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补充说明白石岭工业园企业“退二进三”方案，调查企业现有产能，明确本项目建设后，企业生产规模是否有变化。</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eastAsia="宋体" w:cs="Times New Roman"/>
                <w:b w:val="0"/>
                <w:bCs w:val="0"/>
                <w:color w:val="auto"/>
                <w:sz w:val="21"/>
                <w:szCs w:val="21"/>
                <w:highlight w:val="none"/>
                <w:u w:val="none"/>
                <w:vertAlign w:val="baseline"/>
                <w:lang w:val="en-US" w:eastAsia="zh-CN"/>
              </w:rPr>
            </w:pPr>
            <w:r>
              <w:rPr>
                <w:rFonts w:hint="eastAsia" w:ascii="Times New Roman" w:cs="Times New Roman"/>
                <w:b w:val="0"/>
                <w:bCs w:val="0"/>
                <w:color w:val="auto"/>
                <w:sz w:val="21"/>
                <w:szCs w:val="21"/>
                <w:highlight w:val="none"/>
                <w:u w:val="none"/>
                <w:vertAlign w:val="baseline"/>
                <w:lang w:val="en-US" w:eastAsia="zh-CN"/>
              </w:rPr>
              <w:t>已</w:t>
            </w:r>
            <w:r>
              <w:rPr>
                <w:rFonts w:hint="default" w:ascii="Times New Roman" w:hAnsi="Times New Roman" w:cs="Times New Roman"/>
                <w:b w:val="0"/>
                <w:bCs w:val="0"/>
                <w:color w:val="auto"/>
                <w:sz w:val="21"/>
                <w:szCs w:val="21"/>
                <w:highlight w:val="none"/>
                <w:u w:val="none"/>
                <w:vertAlign w:val="baseline"/>
                <w:lang w:val="en-US" w:eastAsia="zh-CN"/>
              </w:rPr>
              <w:t>补充说明白石岭工业园企业“退二进三”方案，</w:t>
            </w:r>
            <w:r>
              <w:rPr>
                <w:rFonts w:hint="eastAsia" w:ascii="Times New Roman" w:cs="Times New Roman"/>
                <w:b w:val="0"/>
                <w:bCs w:val="0"/>
                <w:color w:val="auto"/>
                <w:sz w:val="21"/>
                <w:szCs w:val="21"/>
                <w:highlight w:val="none"/>
                <w:u w:val="none"/>
                <w:vertAlign w:val="baseline"/>
                <w:lang w:val="en-US" w:eastAsia="zh-CN"/>
              </w:rPr>
              <w:t>见P53；已</w:t>
            </w:r>
            <w:r>
              <w:rPr>
                <w:rFonts w:hint="default" w:ascii="Times New Roman" w:hAnsi="Times New Roman" w:cs="Times New Roman"/>
                <w:b w:val="0"/>
                <w:bCs w:val="0"/>
                <w:color w:val="auto"/>
                <w:sz w:val="21"/>
                <w:szCs w:val="21"/>
                <w:highlight w:val="none"/>
                <w:u w:val="none"/>
                <w:vertAlign w:val="baseline"/>
                <w:lang w:val="en-US" w:eastAsia="zh-CN"/>
              </w:rPr>
              <w:t>调查企业现有产能，明确本项目建设后企业生产</w:t>
            </w:r>
            <w:r>
              <w:rPr>
                <w:rFonts w:hint="eastAsia" w:ascii="Times New Roman" w:cs="Times New Roman"/>
                <w:b w:val="0"/>
                <w:bCs w:val="0"/>
                <w:color w:val="auto"/>
                <w:sz w:val="21"/>
                <w:szCs w:val="21"/>
                <w:highlight w:val="none"/>
                <w:u w:val="none"/>
                <w:vertAlign w:val="baseline"/>
                <w:lang w:val="en-US" w:eastAsia="zh-CN"/>
              </w:rPr>
              <w:t>规模，见P3。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val="en-US" w:eastAsia="zh-CN"/>
              </w:rPr>
              <w:t>8</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强化调查企业现有环境问题，提出以新带老的整治措施。</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eastAsia="宋体" w:cs="Times New Roman"/>
                <w:b w:val="0"/>
                <w:bCs w:val="0"/>
                <w:color w:val="auto"/>
                <w:sz w:val="21"/>
                <w:szCs w:val="21"/>
                <w:highlight w:val="none"/>
                <w:u w:val="none"/>
                <w:vertAlign w:val="baseline"/>
                <w:lang w:val="en-US" w:eastAsia="zh-CN"/>
              </w:rPr>
            </w:pPr>
            <w:r>
              <w:rPr>
                <w:rFonts w:hint="eastAsia" w:ascii="Times New Roman" w:cs="Times New Roman"/>
                <w:b w:val="0"/>
                <w:bCs w:val="0"/>
                <w:color w:val="auto"/>
                <w:sz w:val="21"/>
                <w:szCs w:val="21"/>
                <w:highlight w:val="none"/>
                <w:u w:val="none"/>
                <w:vertAlign w:val="baseline"/>
                <w:lang w:val="en-US" w:eastAsia="zh-CN"/>
              </w:rPr>
              <w:t>已强化调查企业现有环境问题，提出以新带老的整治措施，见P14-15。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val="en-US" w:eastAsia="zh-CN"/>
              </w:rPr>
              <w:t>9</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分析两台锅炉不共用一个排气筒的理由，建议整合排气筒。</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default" w:ascii="Times New Roman" w:cs="Times New Roman"/>
                <w:b w:val="0"/>
                <w:bCs w:val="0"/>
                <w:color w:val="auto"/>
                <w:sz w:val="21"/>
                <w:szCs w:val="21"/>
                <w:highlight w:val="none"/>
                <w:u w:val="none"/>
                <w:vertAlign w:val="baseline"/>
                <w:lang w:val="en-US" w:eastAsia="zh-CN"/>
              </w:rPr>
            </w:pPr>
            <w:r>
              <w:rPr>
                <w:rFonts w:hint="eastAsia" w:ascii="Times New Roman" w:cs="Times New Roman"/>
                <w:b w:val="0"/>
                <w:bCs w:val="0"/>
                <w:color w:val="auto"/>
                <w:sz w:val="21"/>
                <w:szCs w:val="21"/>
                <w:highlight w:val="none"/>
                <w:u w:val="none"/>
                <w:vertAlign w:val="baseline"/>
                <w:lang w:val="en-US" w:eastAsia="zh-CN"/>
              </w:rPr>
              <w:t>已分析说明两台锅炉不共用一个排气筒的理由，见P41-42。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val="en-US" w:eastAsia="zh-CN"/>
              </w:rPr>
              <w:t>10</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须进一步补充说明本项目周边的基础环境背景状况。</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eastAsia="宋体" w:cs="Times New Roman"/>
                <w:b w:val="0"/>
                <w:bCs w:val="0"/>
                <w:color w:val="auto"/>
                <w:sz w:val="21"/>
                <w:szCs w:val="21"/>
                <w:highlight w:val="none"/>
                <w:u w:val="none"/>
                <w:vertAlign w:val="baseline"/>
                <w:lang w:val="en-US" w:eastAsia="zh-CN"/>
              </w:rPr>
            </w:pPr>
            <w:r>
              <w:rPr>
                <w:rFonts w:hint="eastAsia" w:ascii="Times New Roman" w:cs="Times New Roman"/>
                <w:b w:val="0"/>
                <w:bCs w:val="0"/>
                <w:color w:val="auto"/>
                <w:sz w:val="21"/>
                <w:szCs w:val="21"/>
                <w:highlight w:val="none"/>
                <w:u w:val="none"/>
                <w:vertAlign w:val="baseline"/>
                <w:lang w:val="en-US" w:eastAsia="zh-CN"/>
              </w:rPr>
              <w:t>须进一步补充说明本项目周边的基础环境背景状况，见P14、P47。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val="en-US" w:eastAsia="zh-CN"/>
              </w:rPr>
              <w:t>11</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有关锅炉废水排放执行标准的表述中，建议改为“以达到罗家坡污水处理厂的接管标准为主，其它未列项目，达到污水综排三级标准”。文本其他处涉及此类问题，均要按此要求执行。</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default" w:ascii="Times New Roman" w:cs="Times New Roman"/>
                <w:b w:val="0"/>
                <w:bCs w:val="0"/>
                <w:color w:val="auto"/>
                <w:sz w:val="21"/>
                <w:szCs w:val="21"/>
                <w:highlight w:val="none"/>
                <w:u w:val="none"/>
                <w:vertAlign w:val="baseline"/>
                <w:lang w:val="en-US" w:eastAsia="zh-CN"/>
              </w:rPr>
            </w:pPr>
            <w:r>
              <w:rPr>
                <w:rFonts w:hint="eastAsia" w:ascii="Times New Roman" w:cs="Times New Roman"/>
                <w:b w:val="0"/>
                <w:bCs w:val="0"/>
                <w:color w:val="auto"/>
                <w:sz w:val="21"/>
                <w:szCs w:val="21"/>
                <w:highlight w:val="none"/>
                <w:u w:val="none"/>
                <w:vertAlign w:val="baseline"/>
                <w:lang w:val="en-US" w:eastAsia="zh-CN"/>
              </w:rPr>
              <w:t>已统一修改，见P27、P36。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val="en-US" w:eastAsia="zh-CN"/>
              </w:rPr>
              <w:t>12</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本项目在原有锅炉房内建设，补充论证新、旧两台天然气锅炉不能使用同一个烟囱排放废气的技术原因。（即为何要另外新建一个22米的烟囱？）</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default" w:ascii="Times New Roman" w:cs="Times New Roman"/>
                <w:b w:val="0"/>
                <w:bCs w:val="0"/>
                <w:color w:val="auto"/>
                <w:sz w:val="21"/>
                <w:szCs w:val="21"/>
                <w:highlight w:val="none"/>
                <w:u w:val="none"/>
                <w:vertAlign w:val="baseline"/>
                <w:lang w:val="en-US" w:eastAsia="zh-CN"/>
              </w:rPr>
            </w:pPr>
            <w:r>
              <w:rPr>
                <w:rFonts w:hint="eastAsia" w:ascii="Times New Roman" w:cs="Times New Roman"/>
                <w:b w:val="0"/>
                <w:bCs w:val="0"/>
                <w:color w:val="auto"/>
                <w:sz w:val="21"/>
                <w:szCs w:val="21"/>
                <w:highlight w:val="none"/>
                <w:u w:val="none"/>
                <w:vertAlign w:val="baseline"/>
                <w:lang w:val="en-US" w:eastAsia="zh-CN"/>
              </w:rPr>
              <w:t>已补充论证新、旧两台天然气锅炉不能使用同一个烟囱排放废气的技术原因（即为何要另外新建一个22米的烟囱？），见P41-42。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val="en-US" w:eastAsia="zh-CN"/>
              </w:rPr>
              <w:t>13</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环境质量现状评价中，须对空气质量标准中的6项基本因子作现状评价，再确定本项目的特征大气污染因子并对其作现状评价。噪声现状实测数据，应注明提供监测数据的单位并出具质量保证单。</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default" w:ascii="Times New Roman" w:cs="Times New Roman"/>
                <w:b w:val="0"/>
                <w:bCs w:val="0"/>
                <w:color w:val="auto"/>
                <w:sz w:val="21"/>
                <w:szCs w:val="21"/>
                <w:highlight w:val="none"/>
                <w:u w:val="none"/>
                <w:vertAlign w:val="baseline"/>
                <w:lang w:val="en-US" w:eastAsia="zh-CN"/>
              </w:rPr>
            </w:pPr>
            <w:r>
              <w:rPr>
                <w:rFonts w:hint="eastAsia" w:ascii="Times New Roman" w:cs="Times New Roman"/>
                <w:b w:val="0"/>
                <w:bCs w:val="0"/>
                <w:color w:val="auto"/>
                <w:sz w:val="21"/>
                <w:szCs w:val="21"/>
                <w:highlight w:val="none"/>
                <w:u w:val="none"/>
                <w:vertAlign w:val="baseline"/>
                <w:lang w:val="en-US" w:eastAsia="zh-CN"/>
              </w:rPr>
              <w:t>已按要求说明，见P20；已提供质量保证单，见附件5。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val="en-US" w:eastAsia="zh-CN"/>
              </w:rPr>
              <w:t>14</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文本应从保护周边敏感目标的角度，对生产车间各种设备的合理布局提出有效建议，细化车间各类设备的平面布局图，尽量降低噪声扰民的情况。</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default" w:ascii="Times New Roman" w:cs="Times New Roman"/>
                <w:b w:val="0"/>
                <w:bCs w:val="0"/>
                <w:color w:val="auto"/>
                <w:sz w:val="21"/>
                <w:szCs w:val="21"/>
                <w:highlight w:val="none"/>
                <w:u w:val="none"/>
                <w:vertAlign w:val="baseline"/>
                <w:lang w:val="en-US" w:eastAsia="zh-CN"/>
              </w:rPr>
            </w:pPr>
            <w:r>
              <w:rPr>
                <w:rFonts w:hint="eastAsia" w:ascii="Times New Roman" w:cs="Times New Roman"/>
                <w:b w:val="0"/>
                <w:bCs w:val="0"/>
                <w:color w:val="auto"/>
                <w:sz w:val="21"/>
                <w:szCs w:val="21"/>
                <w:highlight w:val="none"/>
                <w:u w:val="none"/>
                <w:vertAlign w:val="baseline"/>
                <w:lang w:val="en-US" w:eastAsia="zh-CN"/>
              </w:rPr>
              <w:t>已按要求修改说明，见P47。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cs="Times New Roman"/>
                <w:b w:val="0"/>
                <w:bCs w:val="0"/>
                <w:color w:val="auto"/>
                <w:sz w:val="21"/>
                <w:szCs w:val="21"/>
                <w:u w:val="none"/>
                <w:vertAlign w:val="baseline"/>
                <w:lang w:val="en-US" w:eastAsia="zh-CN"/>
              </w:rPr>
            </w:pPr>
            <w:r>
              <w:rPr>
                <w:rFonts w:hint="eastAsia" w:ascii="Times New Roman" w:cs="Times New Roman"/>
                <w:b w:val="0"/>
                <w:bCs w:val="0"/>
                <w:color w:val="auto"/>
                <w:sz w:val="21"/>
                <w:szCs w:val="21"/>
                <w:u w:val="none"/>
                <w:vertAlign w:val="baseline"/>
                <w:lang w:val="en-US" w:eastAsia="zh-CN"/>
              </w:rPr>
              <w:t>15</w:t>
            </w:r>
          </w:p>
        </w:tc>
        <w:tc>
          <w:tcPr>
            <w:tcW w:w="6926"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hAnsi="Times New Roman" w:cs="Times New Roman"/>
                <w:b w:val="0"/>
                <w:bCs w:val="0"/>
                <w:color w:val="auto"/>
                <w:sz w:val="21"/>
                <w:szCs w:val="21"/>
                <w:u w:val="none"/>
                <w:vertAlign w:val="baseline"/>
                <w:lang w:eastAsia="zh-CN"/>
              </w:rPr>
            </w:pPr>
            <w:r>
              <w:rPr>
                <w:rFonts w:hint="eastAsia" w:ascii="Times New Roman" w:hAnsi="Times New Roman" w:cs="Times New Roman"/>
                <w:b w:val="0"/>
                <w:bCs w:val="0"/>
                <w:color w:val="auto"/>
                <w:sz w:val="21"/>
                <w:szCs w:val="21"/>
                <w:u w:val="none"/>
                <w:vertAlign w:val="baseline"/>
                <w:lang w:eastAsia="zh-CN"/>
              </w:rPr>
              <w:t>报告表应对本项目建设的必要性做进一步分析，论证本设施在同类产品生产中技术的先进性和市场需求的广泛性。</w:t>
            </w:r>
          </w:p>
        </w:tc>
        <w:tc>
          <w:tcPr>
            <w:tcW w:w="6641" w:type="dxa"/>
            <w:noWrap w:val="0"/>
            <w:vAlign w:val="center"/>
          </w:tcPr>
          <w:p>
            <w:pPr>
              <w:pStyle w:val="33"/>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Times New Roman" w:eastAsia="宋体" w:cs="Times New Roman"/>
                <w:b w:val="0"/>
                <w:bCs w:val="0"/>
                <w:color w:val="auto"/>
                <w:sz w:val="21"/>
                <w:szCs w:val="21"/>
                <w:highlight w:val="none"/>
                <w:u w:val="none"/>
                <w:vertAlign w:val="baseline"/>
                <w:lang w:val="en-US" w:eastAsia="zh-CN"/>
              </w:rPr>
            </w:pPr>
            <w:r>
              <w:rPr>
                <w:rFonts w:hint="eastAsia" w:ascii="Times New Roman" w:cs="Times New Roman"/>
                <w:b w:val="0"/>
                <w:bCs w:val="0"/>
                <w:color w:val="auto"/>
                <w:sz w:val="21"/>
                <w:szCs w:val="21"/>
                <w:highlight w:val="none"/>
                <w:u w:val="none"/>
                <w:vertAlign w:val="baseline"/>
                <w:lang w:val="en-US" w:eastAsia="zh-CN"/>
              </w:rPr>
              <w:t>已进一步分析建设必要性，见P2；已补充论证</w:t>
            </w:r>
            <w:r>
              <w:rPr>
                <w:rFonts w:hint="eastAsia" w:ascii="Times New Roman" w:hAnsi="Times New Roman" w:cs="Times New Roman"/>
                <w:b w:val="0"/>
                <w:bCs w:val="0"/>
                <w:color w:val="auto"/>
                <w:sz w:val="21"/>
                <w:szCs w:val="21"/>
                <w:u w:val="none"/>
                <w:vertAlign w:val="baseline"/>
                <w:lang w:eastAsia="zh-CN"/>
              </w:rPr>
              <w:t>本设施在同类产品生产中技术的先进性和市场需求的广泛性</w:t>
            </w:r>
            <w:r>
              <w:rPr>
                <w:rFonts w:hint="eastAsia" w:ascii="Times New Roman" w:cs="Times New Roman"/>
                <w:b w:val="0"/>
                <w:bCs w:val="0"/>
                <w:color w:val="auto"/>
                <w:sz w:val="21"/>
                <w:szCs w:val="21"/>
                <w:u w:val="none"/>
                <w:vertAlign w:val="baseline"/>
                <w:lang w:eastAsia="zh-CN"/>
              </w:rPr>
              <w:t>，见</w:t>
            </w:r>
            <w:r>
              <w:rPr>
                <w:rFonts w:hint="eastAsia" w:ascii="Times New Roman" w:cs="Times New Roman"/>
                <w:b w:val="0"/>
                <w:bCs w:val="0"/>
                <w:color w:val="auto"/>
                <w:sz w:val="21"/>
                <w:szCs w:val="21"/>
                <w:u w:val="none"/>
                <w:vertAlign w:val="baseline"/>
                <w:lang w:val="en-US" w:eastAsia="zh-CN"/>
              </w:rPr>
              <w:t>P33。</w:t>
            </w:r>
          </w:p>
        </w:tc>
      </w:tr>
    </w:tbl>
    <w:p>
      <w:pPr>
        <w:pStyle w:val="2"/>
      </w:pPr>
    </w:p>
    <w:p>
      <w:pPr>
        <w:pStyle w:val="4"/>
        <w:numPr>
          <w:ilvl w:val="0"/>
          <w:numId w:val="0"/>
        </w:num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bookmarkStart w:id="0" w:name="_Toc11058"/>
    </w:p>
    <w:p>
      <w:pPr>
        <w:pStyle w:val="4"/>
        <w:numPr>
          <w:ilvl w:val="0"/>
          <w:numId w:val="2"/>
        </w:numPr>
      </w:pPr>
      <w:r>
        <w:rPr>
          <w:rFonts w:hint="eastAsia"/>
        </w:rPr>
        <w:t>建设项目基本情况</w:t>
      </w:r>
      <w:bookmarkEnd w:id="0"/>
    </w:p>
    <w:tbl>
      <w:tblPr>
        <w:tblStyle w:val="18"/>
        <w:tblW w:w="92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037"/>
        <w:gridCol w:w="1493"/>
        <w:gridCol w:w="192"/>
        <w:gridCol w:w="1229"/>
        <w:gridCol w:w="795"/>
        <w:gridCol w:w="1905"/>
        <w:gridCol w:w="16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项目名称</w:t>
            </w:r>
          </w:p>
        </w:tc>
        <w:tc>
          <w:tcPr>
            <w:tcW w:w="7249" w:type="dxa"/>
            <w:gridSpan w:val="6"/>
            <w:tcBorders>
              <w:tl2br w:val="nil"/>
              <w:tr2bl w:val="nil"/>
            </w:tcBorders>
            <w:vAlign w:val="center"/>
          </w:tcPr>
          <w:p>
            <w:pPr>
              <w:jc w:val="center"/>
              <w:rPr>
                <w:rFonts w:ascii="Times New Roman" w:hAnsi="Times New Roman" w:cs="Times New Roman"/>
              </w:rPr>
            </w:pPr>
            <w:r>
              <w:rPr>
                <w:rFonts w:hint="eastAsia" w:ascii="Times New Roman" w:hAnsi="Times New Roman" w:cs="Times New Roman"/>
              </w:rPr>
              <w:t>新增1台15t/h</w:t>
            </w:r>
            <w:r>
              <w:rPr>
                <w:rFonts w:ascii="Times New Roman" w:hAnsi="Times New Roman" w:cs="Times New Roman"/>
              </w:rPr>
              <w:t>天然气锅炉项目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建设单位</w:t>
            </w:r>
          </w:p>
        </w:tc>
        <w:tc>
          <w:tcPr>
            <w:tcW w:w="7249" w:type="dxa"/>
            <w:gridSpan w:val="6"/>
            <w:tcBorders>
              <w:tl2br w:val="nil"/>
              <w:tr2bl w:val="nil"/>
            </w:tcBorders>
            <w:vAlign w:val="center"/>
          </w:tcPr>
          <w:p>
            <w:pPr>
              <w:jc w:val="center"/>
              <w:rPr>
                <w:rFonts w:ascii="Times New Roman" w:hAnsi="Times New Roman" w:cs="Times New Roman"/>
              </w:rPr>
            </w:pPr>
            <w:r>
              <w:rPr>
                <w:rFonts w:ascii="Times New Roman" w:hAnsi="Times New Roman" w:cs="Times New Roman"/>
              </w:rPr>
              <w:t>白象</w:t>
            </w:r>
            <w:r>
              <w:rPr>
                <w:rFonts w:hint="eastAsia" w:ascii="Times New Roman" w:hAnsi="Times New Roman" w:cs="Times New Roman"/>
              </w:rPr>
              <w:t>食品股份</w:t>
            </w:r>
            <w:r>
              <w:rPr>
                <w:rFonts w:ascii="Times New Roman" w:hAnsi="Times New Roman" w:cs="Times New Roman"/>
              </w:rPr>
              <w:t>有限公司湖南分公司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法人代表</w:t>
            </w:r>
          </w:p>
        </w:tc>
        <w:tc>
          <w:tcPr>
            <w:tcW w:w="2914" w:type="dxa"/>
            <w:gridSpan w:val="3"/>
            <w:tcBorders>
              <w:tl2br w:val="nil"/>
              <w:tr2bl w:val="nil"/>
            </w:tcBorders>
            <w:vAlign w:val="center"/>
          </w:tcPr>
          <w:p>
            <w:pPr>
              <w:jc w:val="center"/>
              <w:rPr>
                <w:rFonts w:ascii="Times New Roman" w:hAnsi="Times New Roman" w:cs="Times New Roman"/>
              </w:rPr>
            </w:pPr>
            <w:r>
              <w:rPr>
                <w:rFonts w:ascii="Times New Roman" w:hAnsi="Times New Roman" w:cs="Times New Roman"/>
              </w:rPr>
              <w:t>罗叙齐</w:t>
            </w:r>
          </w:p>
        </w:tc>
        <w:tc>
          <w:tcPr>
            <w:tcW w:w="2700" w:type="dxa"/>
            <w:gridSpan w:val="2"/>
            <w:tcBorders>
              <w:tl2br w:val="nil"/>
              <w:tr2bl w:val="nil"/>
            </w:tcBorders>
            <w:vAlign w:val="center"/>
          </w:tcPr>
          <w:p>
            <w:pPr>
              <w:jc w:val="center"/>
              <w:rPr>
                <w:rFonts w:ascii="Times New Roman" w:hAnsi="Times New Roman" w:cs="Times New Roman"/>
              </w:rPr>
            </w:pPr>
            <w:r>
              <w:rPr>
                <w:rFonts w:ascii="Times New Roman" w:hAnsi="Times New Roman" w:cs="Times New Roman"/>
              </w:rPr>
              <w:t>联系人</w:t>
            </w:r>
          </w:p>
        </w:tc>
        <w:tc>
          <w:tcPr>
            <w:tcW w:w="1635"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钟林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通讯地址</w:t>
            </w:r>
          </w:p>
        </w:tc>
        <w:tc>
          <w:tcPr>
            <w:tcW w:w="7249" w:type="dxa"/>
            <w:gridSpan w:val="6"/>
            <w:tcBorders>
              <w:tl2br w:val="nil"/>
              <w:tr2bl w:val="nil"/>
            </w:tcBorders>
            <w:vAlign w:val="center"/>
          </w:tcPr>
          <w:p>
            <w:pPr>
              <w:jc w:val="center"/>
              <w:rPr>
                <w:rFonts w:ascii="Times New Roman" w:hAnsi="Times New Roman" w:cs="Times New Roman"/>
              </w:rPr>
            </w:pPr>
            <w:r>
              <w:rPr>
                <w:rFonts w:ascii="Times New Roman" w:hAnsi="Times New Roman" w:cs="Times New Roman"/>
              </w:rPr>
              <w:t>岳阳市八字门经济技术开发区王家畈路103号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联系电话</w:t>
            </w:r>
          </w:p>
        </w:tc>
        <w:tc>
          <w:tcPr>
            <w:tcW w:w="1685" w:type="dxa"/>
            <w:gridSpan w:val="2"/>
            <w:tcBorders>
              <w:tl2br w:val="nil"/>
              <w:tr2bl w:val="nil"/>
            </w:tcBorders>
            <w:vAlign w:val="center"/>
          </w:tcPr>
          <w:p>
            <w:pPr>
              <w:jc w:val="center"/>
              <w:rPr>
                <w:rFonts w:ascii="Times New Roman" w:hAnsi="Times New Roman" w:cs="Times New Roman"/>
              </w:rPr>
            </w:pPr>
            <w:r>
              <w:rPr>
                <w:rFonts w:ascii="Times New Roman" w:hAnsi="Times New Roman" w:cs="Times New Roman"/>
              </w:rPr>
              <w:t>15973015372</w:t>
            </w:r>
          </w:p>
        </w:tc>
        <w:tc>
          <w:tcPr>
            <w:tcW w:w="1229"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传真</w:t>
            </w:r>
          </w:p>
        </w:tc>
        <w:tc>
          <w:tcPr>
            <w:tcW w:w="795"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w:t>
            </w:r>
          </w:p>
        </w:tc>
        <w:tc>
          <w:tcPr>
            <w:tcW w:w="1905"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邮政编码</w:t>
            </w:r>
          </w:p>
        </w:tc>
        <w:tc>
          <w:tcPr>
            <w:tcW w:w="1635"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414000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建设地点</w:t>
            </w:r>
          </w:p>
        </w:tc>
        <w:tc>
          <w:tcPr>
            <w:tcW w:w="7249" w:type="dxa"/>
            <w:gridSpan w:val="6"/>
            <w:tcBorders>
              <w:tl2br w:val="nil"/>
              <w:tr2bl w:val="nil"/>
            </w:tcBorders>
            <w:vAlign w:val="center"/>
          </w:tcPr>
          <w:p>
            <w:pPr>
              <w:jc w:val="center"/>
              <w:rPr>
                <w:rFonts w:ascii="Times New Roman" w:hAnsi="Times New Roman" w:cs="Times New Roman"/>
              </w:rPr>
            </w:pPr>
            <w:bookmarkStart w:id="1" w:name="OLE_LINK1"/>
            <w:r>
              <w:rPr>
                <w:rFonts w:ascii="Times New Roman" w:hAnsi="Times New Roman" w:cs="Times New Roman"/>
              </w:rPr>
              <w:t>岳阳市王家畈路以南、八字门路以东地块内</w:t>
            </w:r>
            <w:bookmarkEnd w:id="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立项审批部门</w:t>
            </w:r>
          </w:p>
        </w:tc>
        <w:tc>
          <w:tcPr>
            <w:tcW w:w="2914" w:type="dxa"/>
            <w:gridSpan w:val="3"/>
            <w:tcBorders>
              <w:tl2br w:val="nil"/>
              <w:tr2bl w:val="nil"/>
            </w:tcBorders>
            <w:vAlign w:val="center"/>
          </w:tcPr>
          <w:p>
            <w:pPr>
              <w:jc w:val="center"/>
              <w:rPr>
                <w:rFonts w:ascii="Times New Roman" w:hAnsi="Times New Roman" w:cs="Times New Roman"/>
              </w:rPr>
            </w:pPr>
            <w:r>
              <w:rPr>
                <w:rFonts w:ascii="Times New Roman" w:hAnsi="Times New Roman" w:cs="Times New Roman"/>
              </w:rPr>
              <w:t>/</w:t>
            </w:r>
          </w:p>
        </w:tc>
        <w:tc>
          <w:tcPr>
            <w:tcW w:w="2700" w:type="dxa"/>
            <w:gridSpan w:val="2"/>
            <w:tcBorders>
              <w:tl2br w:val="nil"/>
              <w:tr2bl w:val="nil"/>
            </w:tcBorders>
            <w:vAlign w:val="center"/>
          </w:tcPr>
          <w:p>
            <w:pPr>
              <w:jc w:val="center"/>
              <w:rPr>
                <w:rFonts w:ascii="Times New Roman" w:hAnsi="Times New Roman" w:cs="Times New Roman"/>
              </w:rPr>
            </w:pPr>
            <w:r>
              <w:rPr>
                <w:rFonts w:ascii="Times New Roman" w:hAnsi="Times New Roman" w:cs="Times New Roman"/>
              </w:rPr>
              <w:t>批准文号</w:t>
            </w:r>
          </w:p>
        </w:tc>
        <w:tc>
          <w:tcPr>
            <w:tcW w:w="1635"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建设性质</w:t>
            </w:r>
          </w:p>
        </w:tc>
        <w:tc>
          <w:tcPr>
            <w:tcW w:w="2914" w:type="dxa"/>
            <w:gridSpan w:val="3"/>
            <w:tcBorders>
              <w:tl2br w:val="nil"/>
              <w:tr2bl w:val="nil"/>
            </w:tcBorders>
            <w:vAlign w:val="center"/>
          </w:tcPr>
          <w:p>
            <w:pPr>
              <w:jc w:val="center"/>
              <w:rPr>
                <w:rFonts w:ascii="Times New Roman" w:hAnsi="Times New Roman" w:cs="Times New Roman"/>
              </w:rPr>
            </w:pPr>
            <w:r>
              <w:rPr>
                <w:rFonts w:hint="eastAsia" w:ascii="Times New Roman" w:hAnsi="Times New Roman" w:cs="Times New Roman"/>
              </w:rPr>
              <w:t>扩建</w:t>
            </w:r>
          </w:p>
        </w:tc>
        <w:tc>
          <w:tcPr>
            <w:tcW w:w="2700" w:type="dxa"/>
            <w:gridSpan w:val="2"/>
            <w:tcBorders>
              <w:tl2br w:val="nil"/>
              <w:tr2bl w:val="nil"/>
            </w:tcBorders>
            <w:vAlign w:val="center"/>
          </w:tcPr>
          <w:p>
            <w:pPr>
              <w:jc w:val="center"/>
              <w:rPr>
                <w:rFonts w:ascii="Times New Roman" w:hAnsi="Times New Roman" w:cs="Times New Roman"/>
              </w:rPr>
            </w:pPr>
            <w:r>
              <w:rPr>
                <w:rFonts w:ascii="Times New Roman" w:hAnsi="Times New Roman" w:cs="Times New Roman"/>
              </w:rPr>
              <w:t>行业类别及代码</w:t>
            </w:r>
          </w:p>
        </w:tc>
        <w:tc>
          <w:tcPr>
            <w:tcW w:w="1635"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D4430热力生产和供应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占地面积（平方米）</w:t>
            </w:r>
          </w:p>
        </w:tc>
        <w:tc>
          <w:tcPr>
            <w:tcW w:w="2914" w:type="dxa"/>
            <w:gridSpan w:val="3"/>
            <w:tcBorders>
              <w:tl2br w:val="nil"/>
              <w:tr2bl w:val="nil"/>
            </w:tcBorders>
            <w:vAlign w:val="center"/>
          </w:tcPr>
          <w:p>
            <w:pPr>
              <w:jc w:val="center"/>
              <w:rPr>
                <w:rFonts w:ascii="Times New Roman" w:hAnsi="Times New Roman" w:cs="Times New Roman"/>
              </w:rPr>
            </w:pPr>
            <w:r>
              <w:rPr>
                <w:rFonts w:hint="eastAsia" w:ascii="Times New Roman" w:hAnsi="Times New Roman" w:cs="Times New Roman"/>
              </w:rPr>
              <w:t>715</w:t>
            </w:r>
          </w:p>
        </w:tc>
        <w:tc>
          <w:tcPr>
            <w:tcW w:w="2700" w:type="dxa"/>
            <w:gridSpan w:val="2"/>
            <w:tcBorders>
              <w:tl2br w:val="nil"/>
              <w:tr2bl w:val="nil"/>
            </w:tcBorders>
            <w:vAlign w:val="center"/>
          </w:tcPr>
          <w:p>
            <w:pPr>
              <w:jc w:val="center"/>
              <w:rPr>
                <w:rFonts w:ascii="Times New Roman" w:hAnsi="Times New Roman" w:cs="Times New Roman"/>
              </w:rPr>
            </w:pPr>
            <w:r>
              <w:rPr>
                <w:rFonts w:ascii="Times New Roman" w:hAnsi="Times New Roman" w:cs="Times New Roman"/>
              </w:rPr>
              <w:t>绿化面积（平方米）</w:t>
            </w:r>
          </w:p>
        </w:tc>
        <w:tc>
          <w:tcPr>
            <w:tcW w:w="1635"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总投资（万元）</w:t>
            </w:r>
          </w:p>
        </w:tc>
        <w:tc>
          <w:tcPr>
            <w:tcW w:w="1493" w:type="dxa"/>
            <w:tcBorders>
              <w:tl2br w:val="nil"/>
              <w:tr2bl w:val="nil"/>
            </w:tcBorders>
            <w:vAlign w:val="center"/>
          </w:tcPr>
          <w:p>
            <w:pPr>
              <w:jc w:val="center"/>
              <w:rPr>
                <w:rFonts w:hint="default"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298</w:t>
            </w:r>
          </w:p>
        </w:tc>
        <w:tc>
          <w:tcPr>
            <w:tcW w:w="1421" w:type="dxa"/>
            <w:gridSpan w:val="2"/>
            <w:tcBorders>
              <w:tl2br w:val="nil"/>
              <w:tr2bl w:val="nil"/>
            </w:tcBorders>
            <w:vAlign w:val="center"/>
          </w:tcPr>
          <w:p>
            <w:pPr>
              <w:jc w:val="center"/>
              <w:rPr>
                <w:rFonts w:ascii="Times New Roman" w:hAnsi="Times New Roman" w:cs="Times New Roman"/>
                <w:color w:val="auto"/>
              </w:rPr>
            </w:pPr>
            <w:r>
              <w:rPr>
                <w:rFonts w:ascii="Times New Roman" w:hAnsi="Times New Roman" w:cs="Times New Roman"/>
                <w:color w:val="auto"/>
              </w:rPr>
              <w:t>环保投资（万元）</w:t>
            </w:r>
          </w:p>
        </w:tc>
        <w:tc>
          <w:tcPr>
            <w:tcW w:w="795" w:type="dxa"/>
            <w:tcBorders>
              <w:tl2br w:val="nil"/>
              <w:tr2bl w:val="nil"/>
            </w:tcBorders>
            <w:vAlign w:val="center"/>
          </w:tcPr>
          <w:p>
            <w:pPr>
              <w:jc w:val="center"/>
              <w:rPr>
                <w:rFonts w:hint="default"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35.82</w:t>
            </w:r>
          </w:p>
        </w:tc>
        <w:tc>
          <w:tcPr>
            <w:tcW w:w="1905" w:type="dxa"/>
            <w:tcBorders>
              <w:tl2br w:val="nil"/>
              <w:tr2bl w:val="nil"/>
            </w:tcBorders>
            <w:vAlign w:val="center"/>
          </w:tcPr>
          <w:p>
            <w:pPr>
              <w:jc w:val="center"/>
              <w:rPr>
                <w:rFonts w:ascii="Times New Roman" w:hAnsi="Times New Roman" w:cs="Times New Roman"/>
                <w:color w:val="auto"/>
              </w:rPr>
            </w:pPr>
            <w:r>
              <w:rPr>
                <w:rFonts w:ascii="Times New Roman" w:hAnsi="Times New Roman" w:cs="Times New Roman"/>
                <w:color w:val="auto"/>
              </w:rPr>
              <w:t>环保投资占总投资比例</w:t>
            </w:r>
          </w:p>
        </w:tc>
        <w:tc>
          <w:tcPr>
            <w:tcW w:w="1635" w:type="dxa"/>
            <w:tcBorders>
              <w:tl2br w:val="nil"/>
              <w:tr2bl w:val="nil"/>
            </w:tcBorders>
            <w:vAlign w:val="center"/>
          </w:tcPr>
          <w:p>
            <w:pPr>
              <w:jc w:val="center"/>
              <w:rPr>
                <w:rFonts w:ascii="Times New Roman" w:hAnsi="Times New Roman" w:cs="Times New Roman"/>
                <w:color w:val="auto"/>
              </w:rPr>
            </w:pPr>
            <w:r>
              <w:rPr>
                <w:rFonts w:hint="eastAsia" w:ascii="Times New Roman" w:hAnsi="Times New Roman" w:cs="Times New Roman"/>
                <w:color w:val="auto"/>
                <w:lang w:val="en-US" w:eastAsia="zh-CN"/>
              </w:rPr>
              <w:t>12.02</w:t>
            </w:r>
            <w:r>
              <w:rPr>
                <w:rFonts w:hint="eastAsia" w:ascii="Times New Roman" w:hAnsi="Times New Roman" w:cs="Times New Roman"/>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评价经费（万元）</w:t>
            </w:r>
          </w:p>
        </w:tc>
        <w:tc>
          <w:tcPr>
            <w:tcW w:w="2914" w:type="dxa"/>
            <w:gridSpan w:val="3"/>
            <w:tcBorders>
              <w:tl2br w:val="nil"/>
              <w:tr2bl w:val="nil"/>
            </w:tcBorders>
            <w:vAlign w:val="center"/>
          </w:tcPr>
          <w:p>
            <w:pPr>
              <w:jc w:val="center"/>
              <w:rPr>
                <w:rFonts w:ascii="Times New Roman" w:hAnsi="Times New Roman" w:cs="Times New Roman"/>
              </w:rPr>
            </w:pPr>
            <w:r>
              <w:rPr>
                <w:rFonts w:ascii="Times New Roman" w:hAnsi="Times New Roman" w:cs="Times New Roman"/>
              </w:rPr>
              <w:t>/</w:t>
            </w:r>
          </w:p>
        </w:tc>
        <w:tc>
          <w:tcPr>
            <w:tcW w:w="2700" w:type="dxa"/>
            <w:gridSpan w:val="2"/>
            <w:tcBorders>
              <w:tl2br w:val="nil"/>
              <w:tr2bl w:val="nil"/>
            </w:tcBorders>
            <w:vAlign w:val="center"/>
          </w:tcPr>
          <w:p>
            <w:pPr>
              <w:jc w:val="center"/>
              <w:rPr>
                <w:rFonts w:ascii="Times New Roman" w:hAnsi="Times New Roman" w:cs="Times New Roman"/>
              </w:rPr>
            </w:pPr>
            <w:r>
              <w:rPr>
                <w:rFonts w:ascii="Times New Roman" w:hAnsi="Times New Roman" w:cs="Times New Roman"/>
              </w:rPr>
              <w:t>投产日期</w:t>
            </w:r>
          </w:p>
        </w:tc>
        <w:tc>
          <w:tcPr>
            <w:tcW w:w="1635"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202</w:t>
            </w:r>
            <w:r>
              <w:rPr>
                <w:rFonts w:hint="eastAsia" w:ascii="Times New Roman" w:hAnsi="Times New Roman" w:cs="Times New Roman"/>
              </w:rPr>
              <w:t>1</w:t>
            </w:r>
            <w:r>
              <w:rPr>
                <w:rFonts w:ascii="Times New Roman" w:hAnsi="Times New Roman" w:cs="Times New Roman"/>
              </w:rPr>
              <w:t>年</w:t>
            </w:r>
            <w:r>
              <w:rPr>
                <w:rFonts w:hint="eastAsia" w:ascii="Times New Roman" w:hAnsi="Times New Roman" w:cs="Times New Roman"/>
                <w:lang w:val="en-US" w:eastAsia="zh-CN"/>
              </w:rPr>
              <w:t>2</w:t>
            </w:r>
            <w:r>
              <w:rPr>
                <w:rFonts w:ascii="Times New Roman" w:hAnsi="Times New Roman" w:cs="Times New Roman"/>
              </w:rPr>
              <w:t>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86" w:type="dxa"/>
            <w:gridSpan w:val="7"/>
            <w:tcBorders>
              <w:tl2br w:val="nil"/>
              <w:tr2bl w:val="nil"/>
            </w:tcBorders>
            <w:vAlign w:val="center"/>
          </w:tcPr>
          <w:p>
            <w:pPr>
              <w:jc w:val="left"/>
              <w:rPr>
                <w:rFonts w:ascii="Times New Roman" w:hAnsi="Times New Roman" w:cs="Times New Roman"/>
                <w:b/>
                <w:bCs/>
                <w:color w:val="auto"/>
              </w:rPr>
            </w:pPr>
            <w:r>
              <w:rPr>
                <w:rFonts w:ascii="Times New Roman" w:hAnsi="Times New Roman" w:cs="Times New Roman"/>
                <w:b/>
                <w:bCs/>
                <w:color w:val="auto"/>
              </w:rPr>
              <w:t>工程内容及规模：</w:t>
            </w:r>
          </w:p>
          <w:p>
            <w:pPr>
              <w:pStyle w:val="5"/>
              <w:ind w:firstLine="562"/>
              <w:outlineLvl w:val="1"/>
              <w:rPr>
                <w:rFonts w:cs="Times New Roman"/>
                <w:color w:val="auto"/>
              </w:rPr>
            </w:pPr>
            <w:r>
              <w:rPr>
                <w:rFonts w:cs="Times New Roman"/>
                <w:color w:val="auto"/>
              </w:rPr>
              <w:t>1、项目由来</w:t>
            </w:r>
          </w:p>
          <w:p>
            <w:pPr>
              <w:ind w:firstLine="480" w:firstLineChars="200"/>
              <w:rPr>
                <w:rFonts w:ascii="Times New Roman" w:hAnsi="Times New Roman" w:cs="Times New Roman"/>
                <w:color w:val="auto"/>
              </w:rPr>
            </w:pPr>
            <w:r>
              <w:rPr>
                <w:rFonts w:hint="eastAsia"/>
                <w:color w:val="auto"/>
              </w:rPr>
              <w:t>白象食品股份有限公司湖南分公司成立于</w:t>
            </w:r>
            <w:r>
              <w:rPr>
                <w:rFonts w:ascii="Times New Roman" w:hAnsi="Times New Roman" w:cs="Times New Roman"/>
                <w:color w:val="auto"/>
              </w:rPr>
              <w:t>2003年10月，</w:t>
            </w:r>
            <w:r>
              <w:rPr>
                <w:rFonts w:hint="eastAsia"/>
                <w:color w:val="auto"/>
              </w:rPr>
              <w:t>注册地址位于岳阳经济技术开发区工业园（王家畈路），主要从事方便面食品（方便面）的生产、销售、预包装食品的销售，调味料、酱腌菜、水产品的加工与销售。</w:t>
            </w:r>
            <w:r>
              <w:rPr>
                <w:rFonts w:ascii="Times New Roman" w:hAnsi="Times New Roman" w:cs="Times New Roman"/>
                <w:color w:val="auto"/>
              </w:rPr>
              <w:t>白象</w:t>
            </w:r>
            <w:r>
              <w:rPr>
                <w:rFonts w:hint="eastAsia" w:ascii="Times New Roman" w:hAnsi="Times New Roman" w:cs="Times New Roman"/>
                <w:color w:val="auto"/>
              </w:rPr>
              <w:t>食品股份</w:t>
            </w:r>
            <w:r>
              <w:rPr>
                <w:rFonts w:ascii="Times New Roman" w:hAnsi="Times New Roman" w:cs="Times New Roman"/>
                <w:color w:val="auto"/>
              </w:rPr>
              <w:t>有限公司湖南分公司于2005年委托岳阳市环境保护科学研究所编制了《年产4亿包白象方便面工程环境影响报告表》，并获得岳阳市经济技术开发区环保分局的审批</w:t>
            </w:r>
            <w:r>
              <w:rPr>
                <w:rFonts w:hint="eastAsia" w:ascii="Times New Roman" w:hAnsi="Times New Roman" w:cs="Times New Roman"/>
                <w:color w:val="auto"/>
              </w:rPr>
              <w:t>意见</w:t>
            </w:r>
            <w:r>
              <w:rPr>
                <w:rFonts w:ascii="Times New Roman" w:hAnsi="Times New Roman" w:cs="Times New Roman"/>
                <w:color w:val="auto"/>
              </w:rPr>
              <w:t>（见附件2）。</w:t>
            </w:r>
            <w:r>
              <w:rPr>
                <w:rFonts w:hint="eastAsia" w:ascii="Times New Roman" w:hAnsi="Times New Roman" w:cs="Times New Roman"/>
                <w:color w:val="auto"/>
              </w:rPr>
              <w:t>项目建设完成后于2007年取得了</w:t>
            </w:r>
            <w:r>
              <w:rPr>
                <w:rFonts w:ascii="Times New Roman" w:hAnsi="Times New Roman" w:cs="Times New Roman"/>
                <w:color w:val="auto"/>
              </w:rPr>
              <w:t>年产4亿包白象方便面工程环境影响报告表建设项目竣工环境保护验收意见</w:t>
            </w:r>
            <w:r>
              <w:rPr>
                <w:rFonts w:hint="eastAsia" w:ascii="Times New Roman" w:hAnsi="Times New Roman" w:cs="Times New Roman"/>
                <w:color w:val="auto"/>
              </w:rPr>
              <w:t>（见附件3）；</w:t>
            </w:r>
            <w:r>
              <w:rPr>
                <w:rFonts w:ascii="Times New Roman" w:hAnsi="Times New Roman" w:cs="Times New Roman"/>
                <w:color w:val="auto"/>
              </w:rPr>
              <w:t>2012年决定扩建，并委托中机国际工程设计研究院有限责任公司编制了《年产5亿包方便面调料包建设项目环境影响报告表》，并于2014年3月10日取得了岳阳市环境保护局关于白象</w:t>
            </w:r>
            <w:r>
              <w:rPr>
                <w:rFonts w:hint="eastAsia" w:ascii="Times New Roman" w:hAnsi="Times New Roman" w:cs="Times New Roman"/>
                <w:color w:val="auto"/>
              </w:rPr>
              <w:t>食品股份</w:t>
            </w:r>
            <w:r>
              <w:rPr>
                <w:rFonts w:ascii="Times New Roman" w:hAnsi="Times New Roman" w:cs="Times New Roman"/>
                <w:color w:val="auto"/>
              </w:rPr>
              <w:t>有限公司湖南分公司《年产5亿包方便面调料包建设项目环境影响报告表》的批复（岳经环评【2014】005号，见附件</w:t>
            </w:r>
            <w:r>
              <w:rPr>
                <w:rFonts w:hint="eastAsia" w:ascii="Times New Roman" w:hAnsi="Times New Roman" w:cs="Times New Roman"/>
                <w:color w:val="auto"/>
              </w:rPr>
              <w:t>2</w:t>
            </w:r>
            <w:r>
              <w:rPr>
                <w:rFonts w:ascii="Times New Roman" w:hAnsi="Times New Roman" w:cs="Times New Roman"/>
                <w:color w:val="auto"/>
              </w:rPr>
              <w:t>），项目建设完成后于2014年12月28日取得了年产5亿包方便面调料包建设项目竣工环境保护验收意见（环验【2014】026号，详见附件</w:t>
            </w:r>
            <w:r>
              <w:rPr>
                <w:rFonts w:hint="eastAsia" w:ascii="Times New Roman" w:hAnsi="Times New Roman" w:cs="Times New Roman"/>
                <w:color w:val="auto"/>
              </w:rPr>
              <w:t>3</w:t>
            </w:r>
            <w:r>
              <w:rPr>
                <w:rFonts w:ascii="Times New Roman" w:hAnsi="Times New Roman" w:cs="Times New Roman"/>
                <w:color w:val="auto"/>
              </w:rPr>
              <w:t>）</w:t>
            </w:r>
            <w:r>
              <w:rPr>
                <w:rFonts w:hint="eastAsia" w:ascii="Times New Roman" w:hAnsi="Times New Roman" w:cs="Times New Roman"/>
                <w:color w:val="auto"/>
              </w:rPr>
              <w:t>；2016年12月26日通过了《白象食品股份有限公司湖南分公司突发环境事件应急预案》（应急预案备案登记号4306022016c0300233）；2019年1</w:t>
            </w:r>
            <w:r>
              <w:rPr>
                <w:rFonts w:ascii="Times New Roman" w:hAnsi="Times New Roman" w:cs="Times New Roman"/>
                <w:color w:val="auto"/>
              </w:rPr>
              <w:t>2</w:t>
            </w:r>
            <w:r>
              <w:rPr>
                <w:rFonts w:hint="eastAsia" w:ascii="Times New Roman" w:hAnsi="Times New Roman" w:cs="Times New Roman"/>
                <w:color w:val="auto"/>
              </w:rPr>
              <w:t>月</w:t>
            </w:r>
            <w:r>
              <w:rPr>
                <w:rFonts w:ascii="Times New Roman" w:hAnsi="Times New Roman" w:cs="Times New Roman"/>
                <w:color w:val="auto"/>
              </w:rPr>
              <w:t>白象</w:t>
            </w:r>
            <w:r>
              <w:rPr>
                <w:rFonts w:hint="eastAsia" w:ascii="Times New Roman" w:hAnsi="Times New Roman" w:cs="Times New Roman"/>
                <w:color w:val="auto"/>
              </w:rPr>
              <w:t>食品股份</w:t>
            </w:r>
            <w:r>
              <w:rPr>
                <w:rFonts w:ascii="Times New Roman" w:hAnsi="Times New Roman" w:cs="Times New Roman"/>
                <w:color w:val="auto"/>
              </w:rPr>
              <w:t>有限公司湖南分公</w:t>
            </w:r>
            <w:r>
              <w:rPr>
                <w:rFonts w:hint="eastAsia" w:ascii="Times New Roman" w:hAnsi="Times New Roman" w:cs="Times New Roman"/>
                <w:color w:val="auto"/>
              </w:rPr>
              <w:t>司委托贵州省安顺环境保护科学研究所编制了《燃煤锅炉改天然气锅炉项目环境影响报告表》，并获得岳阳市生态环境局岳阳经济技术开发区分局的批复（岳经环评[2020]3号，见附件2）。</w:t>
            </w:r>
          </w:p>
          <w:p>
            <w:pPr>
              <w:ind w:firstLine="480" w:firstLineChars="200"/>
              <w:rPr>
                <w:rFonts w:ascii="Times New Roman" w:hAnsi="Times New Roman" w:cs="Times New Roman"/>
                <w:color w:val="auto"/>
              </w:rPr>
            </w:pPr>
            <w:r>
              <w:rPr>
                <w:rFonts w:hint="eastAsia" w:ascii="Times New Roman" w:hAnsi="Times New Roman" w:cs="Times New Roman"/>
                <w:color w:val="auto"/>
                <w:u w:val="single"/>
              </w:rPr>
              <w:t>经了解，目前企业生产过程利用一台</w:t>
            </w:r>
            <w:r>
              <w:rPr>
                <w:rFonts w:hint="eastAsia" w:ascii="Times New Roman" w:hAnsi="Times New Roman" w:cs="Times New Roman"/>
                <w:color w:val="auto"/>
                <w:u w:val="single"/>
                <w:lang w:eastAsia="zh-CN"/>
              </w:rPr>
              <w:t>现有</w:t>
            </w:r>
            <w:r>
              <w:rPr>
                <w:rFonts w:hint="eastAsia" w:ascii="Times New Roman" w:hAnsi="Times New Roman" w:cs="Times New Roman"/>
                <w:color w:val="auto"/>
                <w:u w:val="single"/>
              </w:rPr>
              <w:t>15t/h 的天然气锅炉</w:t>
            </w:r>
            <w:r>
              <w:rPr>
                <w:rFonts w:hint="eastAsia" w:ascii="Times New Roman" w:hAnsi="Times New Roman" w:cs="Times New Roman"/>
                <w:color w:val="auto"/>
                <w:highlight w:val="none"/>
                <w:u w:val="single"/>
                <w:lang w:eastAsia="zh-CN"/>
              </w:rPr>
              <w:t>进行生产</w:t>
            </w:r>
            <w:r>
              <w:rPr>
                <w:rFonts w:hint="eastAsia" w:ascii="Times New Roman" w:hAnsi="Times New Roman" w:cs="Times New Roman"/>
                <w:color w:val="auto"/>
                <w:u w:val="single"/>
              </w:rPr>
              <w:t>，由于现有1</w:t>
            </w:r>
            <w:r>
              <w:rPr>
                <w:rFonts w:ascii="Times New Roman" w:hAnsi="Times New Roman" w:cs="Times New Roman"/>
                <w:color w:val="auto"/>
                <w:u w:val="single"/>
              </w:rPr>
              <w:t>5t/h</w:t>
            </w:r>
            <w:r>
              <w:rPr>
                <w:rFonts w:hint="eastAsia" w:ascii="Times New Roman" w:hAnsi="Times New Roman" w:cs="Times New Roman"/>
                <w:color w:val="auto"/>
                <w:u w:val="single"/>
              </w:rPr>
              <w:t>天然气锅炉压力不足、温度不高和气量不稳定的原因，严重影响企业生产计划与产品质量，故该</w:t>
            </w:r>
            <w:r>
              <w:rPr>
                <w:rFonts w:hint="eastAsia" w:ascii="Times New Roman" w:hAnsi="Times New Roman" w:cs="Times New Roman"/>
                <w:color w:val="auto"/>
                <w:u w:val="single"/>
                <w:lang w:eastAsia="zh-CN"/>
              </w:rPr>
              <w:t>企业</w:t>
            </w:r>
            <w:r>
              <w:rPr>
                <w:rFonts w:hint="eastAsia" w:ascii="Times New Roman" w:hAnsi="Times New Roman" w:cs="Times New Roman"/>
                <w:color w:val="auto"/>
                <w:u w:val="single"/>
              </w:rPr>
              <w:t>在不改变现有产品方案、生产规模和生产工艺的情况下，拟出资428万元，在现有锅炉房新增一台1</w:t>
            </w:r>
            <w:r>
              <w:rPr>
                <w:rFonts w:ascii="Times New Roman" w:hAnsi="Times New Roman" w:cs="Times New Roman"/>
                <w:color w:val="auto"/>
                <w:u w:val="single"/>
              </w:rPr>
              <w:t>5t/h</w:t>
            </w:r>
            <w:r>
              <w:rPr>
                <w:rFonts w:hint="eastAsia" w:ascii="Times New Roman" w:hAnsi="Times New Roman" w:cs="Times New Roman"/>
                <w:color w:val="auto"/>
                <w:u w:val="single"/>
              </w:rPr>
              <w:t>的天然气锅炉，以补充蒸汽不足或供汽不稳定时对生产经营所造成的影响，在锅炉紧急停汽或缺汽时以备救急，确保企业正常生产，锅炉燃料使用清洁能源天然气，满足国家的环保要求。</w:t>
            </w:r>
            <w:r>
              <w:rPr>
                <w:rFonts w:ascii="Times New Roman" w:hAnsi="Times New Roman" w:cs="Times New Roman"/>
                <w:color w:val="auto"/>
                <w:u w:val="single"/>
              </w:rPr>
              <w:t>根据建设单位提供资料，本项目新增锅炉仅在已建锅炉故障停用或供汽不足的情况下使用，一年中两台锅炉同开的情况约为</w:t>
            </w:r>
            <w:r>
              <w:rPr>
                <w:rFonts w:hint="eastAsia" w:ascii="Times New Roman" w:hAnsi="Times New Roman" w:cs="Times New Roman"/>
                <w:color w:val="auto"/>
                <w:u w:val="single"/>
              </w:rPr>
              <w:t>6</w:t>
            </w:r>
            <w:r>
              <w:rPr>
                <w:rFonts w:ascii="Times New Roman" w:hAnsi="Times New Roman" w:cs="Times New Roman"/>
                <w:color w:val="auto"/>
                <w:u w:val="single"/>
              </w:rPr>
              <w:t>0天。因此本环评仅对新</w:t>
            </w:r>
            <w:r>
              <w:rPr>
                <w:rFonts w:hint="eastAsia" w:ascii="Times New Roman" w:hAnsi="Times New Roman" w:cs="Times New Roman"/>
                <w:color w:val="auto"/>
                <w:u w:val="single"/>
              </w:rPr>
              <w:t>增</w:t>
            </w:r>
            <w:r>
              <w:rPr>
                <w:rFonts w:ascii="Times New Roman" w:hAnsi="Times New Roman" w:cs="Times New Roman"/>
                <w:color w:val="auto"/>
                <w:u w:val="single"/>
              </w:rPr>
              <w:t>锅炉部分进行评价。</w:t>
            </w:r>
          </w:p>
          <w:p>
            <w:pPr>
              <w:ind w:firstLine="480" w:firstLineChars="200"/>
              <w:rPr>
                <w:rFonts w:ascii="Times New Roman" w:hAnsi="Times New Roman" w:cs="Times New Roman"/>
                <w:color w:val="auto"/>
              </w:rPr>
            </w:pPr>
            <w:r>
              <w:rPr>
                <w:rFonts w:ascii="Times New Roman" w:hAnsi="Times New Roman" w:cs="Times New Roman"/>
                <w:color w:val="auto"/>
              </w:rPr>
              <w:t>根据《中华人民共和国环境保护法》（2015年1月1日）、《中华人民共和国环境影响评价法》（2018年12月29日）和《建设项目环境影响评价分类管理名录》（2018年本）的有关规定，本项目属</w:t>
            </w:r>
            <w:r>
              <w:rPr>
                <w:rFonts w:hint="eastAsia" w:ascii="Times New Roman" w:hAnsi="Times New Roman" w:cs="Times New Roman"/>
                <w:color w:val="auto"/>
                <w:lang w:eastAsia="zh-CN"/>
              </w:rPr>
              <w:t>“</w:t>
            </w:r>
            <w:r>
              <w:rPr>
                <w:rFonts w:hint="default" w:ascii="Times New Roman" w:hAnsi="Times New Roman" w:cs="Times New Roman"/>
                <w:color w:val="auto"/>
              </w:rPr>
              <w:t>三十一</w:t>
            </w:r>
            <w:r>
              <w:rPr>
                <w:rFonts w:hint="eastAsia" w:ascii="Times New Roman" w:hAnsi="Times New Roman" w:cs="Times New Roman"/>
                <w:color w:val="auto"/>
                <w:lang w:eastAsia="zh-CN"/>
              </w:rPr>
              <w:t>、</w:t>
            </w:r>
            <w:r>
              <w:rPr>
                <w:rFonts w:hint="default" w:ascii="Times New Roman" w:hAnsi="Times New Roman" w:cs="Times New Roman"/>
                <w:color w:val="auto"/>
              </w:rPr>
              <w:t>电力、热力生产和供应</w:t>
            </w:r>
            <w:r>
              <w:rPr>
                <w:rFonts w:hint="eastAsia" w:ascii="Times New Roman" w:hAnsi="Times New Roman" w:cs="Times New Roman"/>
                <w:color w:val="auto"/>
                <w:lang w:eastAsia="zh-CN"/>
              </w:rPr>
              <w:t>业，</w:t>
            </w:r>
            <w:r>
              <w:rPr>
                <w:rFonts w:hint="eastAsia" w:ascii="Times New Roman" w:hAnsi="Times New Roman" w:cs="Times New Roman"/>
                <w:color w:val="auto"/>
                <w:lang w:val="en-US" w:eastAsia="zh-CN"/>
              </w:rPr>
              <w:t>92热力生产和供应</w:t>
            </w:r>
            <w:r>
              <w:rPr>
                <w:rFonts w:hint="default" w:ascii="Times New Roman" w:hAnsi="Times New Roman" w:cs="Times New Roman"/>
                <w:color w:val="auto"/>
              </w:rPr>
              <w:t>工程，其他（电热锅炉除外）</w:t>
            </w:r>
            <w:r>
              <w:rPr>
                <w:rFonts w:hint="eastAsia" w:ascii="Times New Roman" w:hAnsi="Times New Roman" w:cs="Times New Roman"/>
                <w:color w:val="auto"/>
                <w:lang w:eastAsia="zh-CN"/>
              </w:rPr>
              <w:t>”</w:t>
            </w:r>
            <w:r>
              <w:rPr>
                <w:rFonts w:ascii="Times New Roman" w:hAnsi="Times New Roman" w:cs="Times New Roman"/>
                <w:color w:val="auto"/>
              </w:rPr>
              <w:t>，应编制环境影响报告表。受白象</w:t>
            </w:r>
            <w:r>
              <w:rPr>
                <w:rFonts w:hint="eastAsia" w:ascii="Times New Roman" w:hAnsi="Times New Roman" w:cs="Times New Roman"/>
                <w:color w:val="auto"/>
              </w:rPr>
              <w:t>食品股份</w:t>
            </w:r>
            <w:r>
              <w:rPr>
                <w:rFonts w:ascii="Times New Roman" w:hAnsi="Times New Roman" w:cs="Times New Roman"/>
                <w:color w:val="auto"/>
              </w:rPr>
              <w:t>有限公司湖南分公司委托，</w:t>
            </w:r>
            <w:r>
              <w:rPr>
                <w:rFonts w:hint="eastAsia" w:ascii="Times New Roman" w:hAnsi="Times New Roman" w:cs="Times New Roman"/>
                <w:color w:val="auto"/>
              </w:rPr>
              <w:t>由岳阳凯丰环保有限公司</w:t>
            </w:r>
            <w:r>
              <w:rPr>
                <w:rFonts w:ascii="Times New Roman" w:hAnsi="Times New Roman" w:cs="Times New Roman"/>
                <w:color w:val="auto"/>
              </w:rPr>
              <w:t>承担了该项目的环境影响评价工作，我司环评技术人员在实地踏勘和资料收集的基础上，编制了项目环境影响报告表</w:t>
            </w:r>
            <w:r>
              <w:rPr>
                <w:rFonts w:hint="eastAsia" w:ascii="Times New Roman" w:hAnsi="Times New Roman" w:cs="Times New Roman"/>
                <w:color w:val="auto"/>
              </w:rPr>
              <w:t>。</w:t>
            </w:r>
          </w:p>
          <w:p>
            <w:pPr>
              <w:pStyle w:val="5"/>
              <w:ind w:firstLine="562"/>
              <w:outlineLvl w:val="1"/>
              <w:rPr>
                <w:rFonts w:cs="Times New Roman"/>
                <w:color w:val="auto"/>
              </w:rPr>
            </w:pPr>
            <w:r>
              <w:rPr>
                <w:rFonts w:hint="eastAsia" w:cs="Times New Roman"/>
                <w:color w:val="auto"/>
              </w:rPr>
              <w:t>2、项目历史背景</w:t>
            </w:r>
          </w:p>
          <w:p>
            <w:pPr>
              <w:ind w:firstLine="480" w:firstLineChars="200"/>
              <w:rPr>
                <w:rFonts w:ascii="Times New Roman" w:hAnsi="Times New Roman" w:cs="Times New Roman"/>
                <w:color w:val="auto"/>
              </w:rPr>
            </w:pPr>
            <w:r>
              <w:rPr>
                <w:rFonts w:hint="eastAsia" w:ascii="Times New Roman" w:hAnsi="Times New Roman" w:cs="Times New Roman"/>
                <w:color w:val="auto"/>
              </w:rPr>
              <w:t>项目历年环保手续情况见下表：</w:t>
            </w:r>
          </w:p>
          <w:p>
            <w:pPr>
              <w:pStyle w:val="2"/>
              <w:jc w:val="center"/>
              <w:rPr>
                <w:color w:val="auto"/>
              </w:rPr>
            </w:pPr>
            <w:r>
              <w:rPr>
                <w:rFonts w:ascii="Times New Roman" w:hAnsi="Times New Roman" w:cs="Times New Roman"/>
                <w:b/>
                <w:bCs/>
                <w:color w:val="auto"/>
              </w:rPr>
              <w:t>表1-1  项目历年环保手续一览</w:t>
            </w:r>
          </w:p>
          <w:tbl>
            <w:tblPr>
              <w:tblStyle w:val="18"/>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65"/>
              <w:gridCol w:w="2227"/>
              <w:gridCol w:w="2528"/>
              <w:gridCol w:w="2143"/>
              <w:gridCol w:w="90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7"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时间</w:t>
                  </w:r>
                </w:p>
              </w:tc>
              <w:tc>
                <w:tcPr>
                  <w:tcW w:w="1227"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申报</w:t>
                  </w:r>
                  <w:r>
                    <w:rPr>
                      <w:rFonts w:ascii="Times New Roman" w:hAnsi="Times New Roman" w:cs="Times New Roman"/>
                      <w:b/>
                      <w:bCs/>
                      <w:color w:val="auto"/>
                      <w:sz w:val="21"/>
                      <w:szCs w:val="21"/>
                    </w:rPr>
                    <w:t>项目</w:t>
                  </w:r>
                </w:p>
              </w:tc>
              <w:tc>
                <w:tcPr>
                  <w:tcW w:w="1393"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建设内容</w:t>
                  </w:r>
                </w:p>
              </w:tc>
              <w:tc>
                <w:tcPr>
                  <w:tcW w:w="1181"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批文</w:t>
                  </w:r>
                </w:p>
              </w:tc>
              <w:tc>
                <w:tcPr>
                  <w:tcW w:w="500"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性质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7"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2005年</w:t>
                  </w:r>
                  <w:r>
                    <w:rPr>
                      <w:rFonts w:ascii="Times New Roman" w:hAnsi="Times New Roman" w:cs="Times New Roman"/>
                      <w:color w:val="auto"/>
                      <w:sz w:val="21"/>
                      <w:szCs w:val="21"/>
                    </w:rPr>
                    <w:t>8月</w:t>
                  </w:r>
                  <w:r>
                    <w:rPr>
                      <w:rFonts w:hint="eastAsia" w:ascii="Times New Roman" w:hAnsi="Times New Roman" w:cs="Times New Roman"/>
                      <w:color w:val="auto"/>
                      <w:sz w:val="21"/>
                      <w:szCs w:val="21"/>
                    </w:rPr>
                    <w:t>18日</w:t>
                  </w:r>
                </w:p>
              </w:tc>
              <w:tc>
                <w:tcPr>
                  <w:tcW w:w="1227"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《年产4亿包白象方便面工程环境影响报告表》</w:t>
                  </w:r>
                </w:p>
              </w:tc>
              <w:tc>
                <w:tcPr>
                  <w:tcW w:w="1393"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年产4亿包方便面</w:t>
                  </w:r>
                </w:p>
              </w:tc>
              <w:tc>
                <w:tcPr>
                  <w:tcW w:w="1181"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《年产4亿包白象方便面工程环境影响报告表》的审批意见</w:t>
                  </w:r>
                </w:p>
              </w:tc>
              <w:tc>
                <w:tcPr>
                  <w:tcW w:w="500"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2007年</w:t>
                  </w:r>
                  <w:r>
                    <w:rPr>
                      <w:rFonts w:hint="eastAsia" w:ascii="Times New Roman" w:hAnsi="Times New Roman" w:cs="Times New Roman"/>
                      <w:color w:val="auto"/>
                      <w:sz w:val="21"/>
                      <w:szCs w:val="21"/>
                    </w:rPr>
                    <w:t>11</w:t>
                  </w:r>
                  <w:r>
                    <w:rPr>
                      <w:rFonts w:ascii="Times New Roman" w:hAnsi="Times New Roman" w:cs="Times New Roman"/>
                      <w:color w:val="auto"/>
                      <w:sz w:val="21"/>
                      <w:szCs w:val="21"/>
                    </w:rPr>
                    <w:t>月</w:t>
                  </w:r>
                  <w:r>
                    <w:rPr>
                      <w:rFonts w:hint="eastAsia" w:ascii="Times New Roman" w:hAnsi="Times New Roman" w:cs="Times New Roman"/>
                      <w:color w:val="auto"/>
                      <w:sz w:val="21"/>
                      <w:szCs w:val="21"/>
                    </w:rPr>
                    <w:t>15日</w:t>
                  </w:r>
                </w:p>
              </w:tc>
              <w:tc>
                <w:tcPr>
                  <w:tcW w:w="122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《年产4亿包白象方便面工程竣工环境保护验收意见》</w:t>
                  </w:r>
                </w:p>
              </w:tc>
              <w:tc>
                <w:tcPr>
                  <w:tcW w:w="1393"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年产4亿包方便面环保验收</w:t>
                  </w:r>
                </w:p>
              </w:tc>
              <w:tc>
                <w:tcPr>
                  <w:tcW w:w="1181"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岳环竣监字[2007]第28号</w:t>
                  </w:r>
                </w:p>
              </w:tc>
              <w:tc>
                <w:tcPr>
                  <w:tcW w:w="5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2014年3月10日</w:t>
                  </w:r>
                </w:p>
              </w:tc>
              <w:tc>
                <w:tcPr>
                  <w:tcW w:w="122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《年产5亿包方便面调料包建设项目环境影响报告表》</w:t>
                  </w:r>
                </w:p>
              </w:tc>
              <w:tc>
                <w:tcPr>
                  <w:tcW w:w="1393"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年产5亿包方便面调料包</w:t>
                  </w:r>
                </w:p>
              </w:tc>
              <w:tc>
                <w:tcPr>
                  <w:tcW w:w="1181"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岳经环评【2014】005号</w:t>
                  </w:r>
                </w:p>
              </w:tc>
              <w:tc>
                <w:tcPr>
                  <w:tcW w:w="5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扩建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2014年12月28日</w:t>
                  </w:r>
                </w:p>
              </w:tc>
              <w:tc>
                <w:tcPr>
                  <w:tcW w:w="122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《年产5亿包方便面调料包建设项目竣工环境保护验收意见》</w:t>
                  </w:r>
                </w:p>
              </w:tc>
              <w:tc>
                <w:tcPr>
                  <w:tcW w:w="1393"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年产5亿包方便面调料包环保验收</w:t>
                  </w:r>
                </w:p>
              </w:tc>
              <w:tc>
                <w:tcPr>
                  <w:tcW w:w="1181"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环验【2014】026号</w:t>
                  </w:r>
                </w:p>
              </w:tc>
              <w:tc>
                <w:tcPr>
                  <w:tcW w:w="5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2016年12月26日</w:t>
                  </w:r>
                </w:p>
              </w:tc>
              <w:tc>
                <w:tcPr>
                  <w:tcW w:w="122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《白象食品股份有限公司湖南分公司突发环境事件应急预案》</w:t>
                  </w:r>
                </w:p>
              </w:tc>
              <w:tc>
                <w:tcPr>
                  <w:tcW w:w="1393"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全厂突发环境事件应急预案</w:t>
                  </w:r>
                </w:p>
              </w:tc>
              <w:tc>
                <w:tcPr>
                  <w:tcW w:w="1181"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应急预案登记备案编号：4306022016C0300233</w:t>
                  </w:r>
                </w:p>
              </w:tc>
              <w:tc>
                <w:tcPr>
                  <w:tcW w:w="5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2020年3月11日</w:t>
                  </w:r>
                </w:p>
              </w:tc>
              <w:tc>
                <w:tcPr>
                  <w:tcW w:w="122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《燃煤锅炉改天然气锅炉项目环境影响报告表》</w:t>
                  </w:r>
                </w:p>
              </w:tc>
              <w:tc>
                <w:tcPr>
                  <w:tcW w:w="1393"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拆除原有15t/h燃煤锅炉和1根50m排气筒，新建1台15t/h天然气锅炉和1根20m排气筒</w:t>
                  </w:r>
                </w:p>
              </w:tc>
              <w:tc>
                <w:tcPr>
                  <w:tcW w:w="1181"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岳经环评[2020]3号</w:t>
                  </w:r>
                </w:p>
              </w:tc>
              <w:tc>
                <w:tcPr>
                  <w:tcW w:w="5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技术改造</w:t>
                  </w:r>
                </w:p>
              </w:tc>
            </w:tr>
          </w:tbl>
          <w:p>
            <w:pPr>
              <w:pStyle w:val="5"/>
              <w:ind w:firstLine="562"/>
              <w:outlineLvl w:val="1"/>
              <w:rPr>
                <w:color w:val="auto"/>
              </w:rPr>
            </w:pPr>
            <w:r>
              <w:rPr>
                <w:rFonts w:cs="Times New Roman"/>
                <w:color w:val="auto"/>
              </w:rPr>
              <w:t>3、</w:t>
            </w:r>
            <w:r>
              <w:rPr>
                <w:rFonts w:hint="eastAsia"/>
                <w:color w:val="auto"/>
              </w:rPr>
              <w:t>项目名称、性质、地点及规模</w:t>
            </w:r>
          </w:p>
          <w:p>
            <w:pPr>
              <w:autoSpaceDE w:val="0"/>
              <w:autoSpaceDN w:val="0"/>
              <w:adjustRightInd w:val="0"/>
              <w:spacing w:line="360" w:lineRule="auto"/>
              <w:ind w:firstLine="480" w:firstLineChars="200"/>
              <w:rPr>
                <w:rFonts w:ascii="Times New Roman" w:hAnsi="Times New Roman" w:cs="Times New Roman"/>
                <w:color w:val="auto"/>
              </w:rPr>
            </w:pPr>
            <w:r>
              <w:rPr>
                <w:rFonts w:hint="eastAsia" w:ascii="Times New Roman" w:hAnsi="Times New Roman" w:cs="Times New Roman"/>
                <w:color w:val="auto"/>
              </w:rPr>
              <w:t>（1）</w:t>
            </w:r>
            <w:r>
              <w:rPr>
                <w:rFonts w:ascii="Times New Roman" w:hAnsi="Times New Roman" w:cs="Times New Roman"/>
                <w:color w:val="auto"/>
              </w:rPr>
              <w:t>项目名称：</w:t>
            </w:r>
            <w:r>
              <w:rPr>
                <w:rFonts w:hint="eastAsia" w:ascii="Times New Roman" w:hAnsi="Times New Roman" w:cs="Times New Roman"/>
                <w:color w:val="auto"/>
                <w:szCs w:val="28"/>
              </w:rPr>
              <w:t>新增1台15t/h天然气锅炉项目</w:t>
            </w:r>
            <w:r>
              <w:rPr>
                <w:rFonts w:ascii="Times New Roman" w:hAnsi="Times New Roman" w:cs="Times New Roman"/>
                <w:color w:val="auto"/>
              </w:rPr>
              <w:t>。</w:t>
            </w:r>
          </w:p>
          <w:p>
            <w:pPr>
              <w:autoSpaceDE w:val="0"/>
              <w:autoSpaceDN w:val="0"/>
              <w:adjustRightInd w:val="0"/>
              <w:spacing w:line="360" w:lineRule="auto"/>
              <w:ind w:firstLine="480" w:firstLineChars="200"/>
              <w:rPr>
                <w:rFonts w:ascii="Times New Roman" w:hAnsi="Times New Roman" w:cs="Times New Roman"/>
                <w:color w:val="auto"/>
              </w:rPr>
            </w:pPr>
            <w:r>
              <w:rPr>
                <w:rFonts w:hint="eastAsia" w:ascii="Times New Roman" w:hAnsi="Times New Roman" w:cs="Times New Roman"/>
                <w:color w:val="auto"/>
              </w:rPr>
              <w:t>（2）</w:t>
            </w:r>
            <w:r>
              <w:rPr>
                <w:rFonts w:ascii="Times New Roman" w:hAnsi="Times New Roman" w:cs="Times New Roman"/>
                <w:color w:val="auto"/>
              </w:rPr>
              <w:t>建设性质：</w:t>
            </w:r>
            <w:r>
              <w:rPr>
                <w:rFonts w:hint="eastAsia" w:ascii="Times New Roman" w:hAnsi="Times New Roman" w:cs="Times New Roman"/>
                <w:color w:val="auto"/>
              </w:rPr>
              <w:t>扩建</w:t>
            </w:r>
            <w:r>
              <w:rPr>
                <w:rFonts w:ascii="Times New Roman" w:hAnsi="Times New Roman" w:cs="Times New Roman"/>
                <w:color w:val="auto"/>
              </w:rPr>
              <w:t>。</w:t>
            </w:r>
          </w:p>
          <w:p>
            <w:pPr>
              <w:autoSpaceDE w:val="0"/>
              <w:autoSpaceDN w:val="0"/>
              <w:adjustRightInd w:val="0"/>
              <w:spacing w:line="360" w:lineRule="auto"/>
              <w:ind w:firstLine="480" w:firstLineChars="200"/>
              <w:rPr>
                <w:rFonts w:ascii="Times New Roman" w:hAnsi="Times New Roman" w:cs="Times New Roman"/>
                <w:color w:val="auto"/>
              </w:rPr>
            </w:pPr>
            <w:r>
              <w:rPr>
                <w:rFonts w:hint="eastAsia" w:ascii="Times New Roman" w:hAnsi="Times New Roman" w:cs="Times New Roman"/>
                <w:color w:val="auto"/>
              </w:rPr>
              <w:t>（3）</w:t>
            </w:r>
            <w:r>
              <w:rPr>
                <w:rFonts w:ascii="Times New Roman" w:hAnsi="Times New Roman" w:cs="Times New Roman"/>
                <w:color w:val="auto"/>
              </w:rPr>
              <w:t>建设地点：岳阳市王家畈路以南、八字门路以东地块内</w:t>
            </w:r>
            <w:r>
              <w:rPr>
                <w:rFonts w:hint="eastAsia" w:ascii="Times New Roman" w:hAnsi="Times New Roman" w:cs="Times New Roman"/>
                <w:color w:val="auto"/>
              </w:rPr>
              <w:t>(</w:t>
            </w:r>
            <w:r>
              <w:rPr>
                <w:rFonts w:ascii="Times New Roman" w:hAnsi="Times New Roman" w:cs="Times New Roman"/>
                <w:color w:val="auto"/>
              </w:rPr>
              <w:t>象股份食品有限公司湖南分公司现有厂区</w:t>
            </w:r>
            <w:r>
              <w:rPr>
                <w:rFonts w:hint="eastAsia" w:ascii="Times New Roman" w:hAnsi="Times New Roman" w:cs="Times New Roman"/>
                <w:color w:val="auto"/>
              </w:rPr>
              <w:t>)，</w:t>
            </w:r>
            <w:r>
              <w:rPr>
                <w:rFonts w:ascii="Times New Roman" w:hAnsi="Times New Roman" w:cs="Times New Roman"/>
                <w:color w:val="auto"/>
              </w:rPr>
              <w:t>项目地理位置详见附图1。</w:t>
            </w:r>
          </w:p>
          <w:p>
            <w:pPr>
              <w:autoSpaceDE w:val="0"/>
              <w:autoSpaceDN w:val="0"/>
              <w:adjustRightInd w:val="0"/>
              <w:spacing w:line="360" w:lineRule="auto"/>
              <w:ind w:firstLine="480" w:firstLineChars="200"/>
              <w:rPr>
                <w:rFonts w:ascii="Times New Roman" w:hAnsi="Times New Roman" w:cs="Times New Roman"/>
                <w:color w:val="auto"/>
                <w:u w:val="single"/>
              </w:rPr>
            </w:pPr>
            <w:r>
              <w:rPr>
                <w:rFonts w:hint="eastAsia" w:ascii="Times New Roman" w:hAnsi="Times New Roman" w:cs="Times New Roman"/>
                <w:color w:val="auto"/>
                <w:u w:val="single"/>
              </w:rPr>
              <w:t>（4）</w:t>
            </w:r>
            <w:r>
              <w:rPr>
                <w:rFonts w:ascii="Times New Roman" w:hAnsi="Times New Roman" w:cs="Times New Roman"/>
                <w:color w:val="auto"/>
                <w:u w:val="single"/>
              </w:rPr>
              <w:t>建设规模：</w:t>
            </w:r>
            <w:r>
              <w:rPr>
                <w:rFonts w:hint="eastAsia" w:ascii="Times New Roman" w:hAnsi="Times New Roman" w:cs="Times New Roman"/>
                <w:color w:val="auto"/>
                <w:u w:val="single"/>
              </w:rPr>
              <w:t>企业原有生产工艺、产品方案、生产规模不变，</w:t>
            </w:r>
            <w:r>
              <w:rPr>
                <w:rFonts w:ascii="Times New Roman" w:hAnsi="Times New Roman" w:cs="Times New Roman"/>
                <w:color w:val="auto"/>
                <w:u w:val="single"/>
              </w:rPr>
              <w:t>在现有锅炉房新增一台15t/h天然气锅炉及</w:t>
            </w:r>
            <w:r>
              <w:rPr>
                <w:rFonts w:hint="eastAsia" w:ascii="Times New Roman" w:hAnsi="Times New Roman" w:cs="Times New Roman"/>
                <w:color w:val="auto"/>
                <w:u w:val="single"/>
              </w:rPr>
              <w:t>新建一根</w:t>
            </w:r>
            <w:r>
              <w:rPr>
                <w:rFonts w:ascii="Times New Roman" w:hAnsi="Times New Roman" w:cs="Times New Roman"/>
                <w:color w:val="auto"/>
                <w:u w:val="single"/>
              </w:rPr>
              <w:t>2</w:t>
            </w:r>
            <w:r>
              <w:rPr>
                <w:rFonts w:hint="eastAsia" w:ascii="Times New Roman" w:hAnsi="Times New Roman" w:cs="Times New Roman"/>
                <w:color w:val="auto"/>
                <w:u w:val="single"/>
                <w:lang w:val="en-US" w:eastAsia="zh-CN"/>
              </w:rPr>
              <w:t>3</w:t>
            </w:r>
            <w:r>
              <w:rPr>
                <w:rFonts w:hint="eastAsia" w:ascii="Times New Roman" w:hAnsi="Times New Roman" w:cs="Times New Roman"/>
                <w:color w:val="auto"/>
                <w:u w:val="single"/>
              </w:rPr>
              <w:t>m</w:t>
            </w:r>
            <w:r>
              <w:rPr>
                <w:rFonts w:ascii="Times New Roman" w:hAnsi="Times New Roman" w:cs="Times New Roman"/>
                <w:color w:val="auto"/>
                <w:u w:val="single"/>
              </w:rPr>
              <w:t>烟囱。</w:t>
            </w:r>
          </w:p>
          <w:p>
            <w:pPr>
              <w:pStyle w:val="5"/>
              <w:ind w:firstLine="562"/>
              <w:outlineLvl w:val="1"/>
              <w:rPr>
                <w:rFonts w:cs="Times New Roman"/>
                <w:color w:val="auto"/>
              </w:rPr>
            </w:pPr>
            <w:r>
              <w:rPr>
                <w:rFonts w:hint="eastAsia" w:cs="Times New Roman"/>
                <w:color w:val="auto"/>
                <w:lang w:val="en-US" w:eastAsia="zh-CN"/>
              </w:rPr>
              <w:t>4、</w:t>
            </w:r>
            <w:r>
              <w:rPr>
                <w:rFonts w:hint="eastAsia" w:cs="Times New Roman"/>
                <w:color w:val="auto"/>
              </w:rPr>
              <w:t>项</w:t>
            </w:r>
            <w:r>
              <w:rPr>
                <w:rFonts w:cs="Times New Roman"/>
                <w:color w:val="auto"/>
              </w:rPr>
              <w:t>目工程内容</w:t>
            </w:r>
          </w:p>
          <w:p>
            <w:pPr>
              <w:pStyle w:val="2"/>
              <w:spacing w:after="0"/>
              <w:ind w:firstLine="480" w:firstLineChars="200"/>
              <w:jc w:val="left"/>
              <w:rPr>
                <w:rFonts w:ascii="Times New Roman" w:hAnsi="Times New Roman" w:cs="Times New Roman"/>
                <w:color w:val="auto"/>
                <w:u w:val="single"/>
              </w:rPr>
            </w:pPr>
            <w:r>
              <w:rPr>
                <w:rFonts w:hint="eastAsia" w:ascii="Times New Roman" w:hAnsi="Times New Roman" w:cs="Times New Roman"/>
                <w:color w:val="auto"/>
                <w:u w:val="single"/>
                <w:lang w:eastAsia="zh-CN"/>
              </w:rPr>
              <w:t>白象食品股份有限公司湖南分公司现有产能依旧为年产</w:t>
            </w:r>
            <w:r>
              <w:rPr>
                <w:rFonts w:hint="eastAsia" w:ascii="Times New Roman" w:hAnsi="Times New Roman" w:cs="Times New Roman"/>
                <w:color w:val="auto"/>
                <w:u w:val="single"/>
                <w:lang w:val="en-US" w:eastAsia="zh-CN"/>
              </w:rPr>
              <w:t>4亿包方便面和5亿包方便面调料包，</w:t>
            </w:r>
            <w:r>
              <w:rPr>
                <w:rFonts w:ascii="Times New Roman" w:hAnsi="Times New Roman" w:cs="Times New Roman"/>
                <w:color w:val="auto"/>
                <w:u w:val="single"/>
              </w:rPr>
              <w:t>本项目</w:t>
            </w:r>
            <w:r>
              <w:rPr>
                <w:rFonts w:hint="eastAsia" w:ascii="Times New Roman" w:hAnsi="Times New Roman" w:cs="Times New Roman"/>
                <w:color w:val="auto"/>
                <w:u w:val="single"/>
              </w:rPr>
              <w:t>不改变现有产品方案、生产规模和生产工艺，</w:t>
            </w:r>
            <w:r>
              <w:rPr>
                <w:rFonts w:ascii="Times New Roman" w:hAnsi="Times New Roman" w:cs="Times New Roman"/>
                <w:color w:val="auto"/>
                <w:u w:val="single"/>
              </w:rPr>
              <w:t>新</w:t>
            </w:r>
            <w:r>
              <w:rPr>
                <w:rFonts w:hint="eastAsia" w:ascii="Times New Roman" w:hAnsi="Times New Roman" w:cs="Times New Roman"/>
                <w:color w:val="auto"/>
                <w:u w:val="single"/>
              </w:rPr>
              <w:t>增</w:t>
            </w:r>
            <w:r>
              <w:rPr>
                <w:rFonts w:ascii="Times New Roman" w:hAnsi="Times New Roman" w:cs="Times New Roman"/>
                <w:color w:val="auto"/>
                <w:u w:val="single"/>
              </w:rPr>
              <w:t>一台15t/h的</w:t>
            </w:r>
            <w:r>
              <w:rPr>
                <w:rFonts w:hint="eastAsia" w:ascii="Times New Roman" w:hAnsi="Times New Roman" w:cs="Times New Roman"/>
                <w:color w:val="auto"/>
                <w:u w:val="single"/>
              </w:rPr>
              <w:t>天然气锅炉和1根2</w:t>
            </w:r>
            <w:r>
              <w:rPr>
                <w:rFonts w:hint="eastAsia" w:ascii="Times New Roman" w:hAnsi="Times New Roman" w:cs="Times New Roman"/>
                <w:color w:val="auto"/>
                <w:u w:val="single"/>
                <w:lang w:val="en-US" w:eastAsia="zh-CN"/>
              </w:rPr>
              <w:t>3</w:t>
            </w:r>
            <w:r>
              <w:rPr>
                <w:rFonts w:hint="eastAsia" w:ascii="Times New Roman" w:hAnsi="Times New Roman" w:cs="Times New Roman"/>
                <w:color w:val="auto"/>
                <w:u w:val="single"/>
              </w:rPr>
              <w:t>m烟囱，</w:t>
            </w:r>
            <w:r>
              <w:rPr>
                <w:rFonts w:ascii="Times New Roman" w:hAnsi="Times New Roman" w:cs="Times New Roman"/>
                <w:color w:val="auto"/>
                <w:u w:val="single"/>
              </w:rPr>
              <w:t>在</w:t>
            </w:r>
            <w:r>
              <w:rPr>
                <w:rFonts w:hint="eastAsia" w:ascii="Times New Roman" w:hAnsi="Times New Roman" w:cs="Times New Roman"/>
                <w:color w:val="auto"/>
                <w:u w:val="single"/>
              </w:rPr>
              <w:t>现有1</w:t>
            </w:r>
            <w:r>
              <w:rPr>
                <w:rFonts w:ascii="Times New Roman" w:hAnsi="Times New Roman" w:cs="Times New Roman"/>
                <w:color w:val="auto"/>
                <w:u w:val="single"/>
              </w:rPr>
              <w:t>5t/h</w:t>
            </w:r>
            <w:r>
              <w:rPr>
                <w:rFonts w:hint="eastAsia" w:ascii="Times New Roman" w:hAnsi="Times New Roman" w:cs="Times New Roman"/>
                <w:color w:val="auto"/>
                <w:u w:val="single"/>
              </w:rPr>
              <w:t>天然气</w:t>
            </w:r>
            <w:r>
              <w:rPr>
                <w:rFonts w:ascii="Times New Roman" w:hAnsi="Times New Roman" w:cs="Times New Roman"/>
                <w:color w:val="auto"/>
                <w:u w:val="single"/>
              </w:rPr>
              <w:t>锅炉紧急停汽或缺汽时，</w:t>
            </w:r>
            <w:r>
              <w:rPr>
                <w:rFonts w:hint="eastAsia" w:ascii="Times New Roman" w:hAnsi="Times New Roman" w:cs="Times New Roman"/>
                <w:color w:val="auto"/>
                <w:u w:val="single"/>
              </w:rPr>
              <w:t>启用新增锅炉确保企业正常生产</w:t>
            </w:r>
            <w:r>
              <w:rPr>
                <w:rFonts w:ascii="Times New Roman" w:hAnsi="Times New Roman" w:cs="Times New Roman"/>
                <w:color w:val="auto"/>
                <w:u w:val="single"/>
              </w:rPr>
              <w:t>。</w:t>
            </w:r>
          </w:p>
          <w:p>
            <w:pPr>
              <w:pStyle w:val="2"/>
              <w:spacing w:after="0"/>
              <w:ind w:firstLine="480" w:firstLineChars="200"/>
              <w:jc w:val="left"/>
              <w:rPr>
                <w:rFonts w:ascii="Times New Roman" w:hAnsi="Times New Roman" w:cs="Times New Roman"/>
                <w:color w:val="auto"/>
              </w:rPr>
            </w:pPr>
            <w:r>
              <w:rPr>
                <w:rFonts w:ascii="Times New Roman" w:hAnsi="Times New Roman" w:cs="Times New Roman"/>
                <w:color w:val="auto"/>
              </w:rPr>
              <w:t>本项目新增锅炉拟设置在现有锅炉房内与原有的锅炉共用，锅炉房位于白象</w:t>
            </w:r>
            <w:r>
              <w:rPr>
                <w:rFonts w:hint="eastAsia" w:ascii="Times New Roman" w:hAnsi="Times New Roman" w:cs="Times New Roman"/>
                <w:color w:val="auto"/>
              </w:rPr>
              <w:t>食品股份</w:t>
            </w:r>
            <w:r>
              <w:rPr>
                <w:rFonts w:ascii="Times New Roman" w:hAnsi="Times New Roman" w:cs="Times New Roman"/>
                <w:color w:val="auto"/>
              </w:rPr>
              <w:t>有限公司湖南分公司</w:t>
            </w:r>
            <w:r>
              <w:rPr>
                <w:rFonts w:hint="eastAsia" w:ascii="Times New Roman" w:hAnsi="Times New Roman" w:cs="Times New Roman"/>
                <w:color w:val="auto"/>
              </w:rPr>
              <w:t>厂区西侧（</w:t>
            </w:r>
            <w:r>
              <w:rPr>
                <w:rFonts w:ascii="Times New Roman" w:hAnsi="Times New Roman" w:cs="Times New Roman"/>
                <w:color w:val="auto"/>
              </w:rPr>
              <w:t>地理</w:t>
            </w:r>
            <w:r>
              <w:rPr>
                <w:rFonts w:hint="eastAsia" w:ascii="Times New Roman" w:hAnsi="Times New Roman" w:cs="Times New Roman"/>
                <w:color w:val="auto"/>
              </w:rPr>
              <w:t xml:space="preserve">坐标E </w:t>
            </w:r>
            <w:r>
              <w:rPr>
                <w:rFonts w:ascii="Times New Roman" w:hAnsi="Times New Roman" w:cs="Times New Roman"/>
                <w:color w:val="auto"/>
              </w:rPr>
              <w:t>113 ° 9 ' 22.97̋</w:t>
            </w:r>
            <w:r>
              <w:rPr>
                <w:rFonts w:hint="eastAsia" w:ascii="Times New Roman" w:hAnsi="Times New Roman" w:cs="Times New Roman"/>
                <w:color w:val="auto"/>
              </w:rPr>
              <w:t>，N 29°22 '45.97）</w:t>
            </w:r>
            <w:r>
              <w:rPr>
                <w:rFonts w:ascii="Times New Roman" w:hAnsi="Times New Roman" w:cs="Times New Roman"/>
                <w:color w:val="auto"/>
              </w:rPr>
              <w:t>，项目</w:t>
            </w:r>
            <w:r>
              <w:rPr>
                <w:rFonts w:hint="eastAsia" w:ascii="Times New Roman" w:hAnsi="Times New Roman" w:cs="Times New Roman"/>
                <w:color w:val="auto"/>
              </w:rPr>
              <w:t>锅炉房</w:t>
            </w:r>
            <w:r>
              <w:rPr>
                <w:rFonts w:ascii="Times New Roman" w:hAnsi="Times New Roman" w:cs="Times New Roman"/>
                <w:color w:val="auto"/>
              </w:rPr>
              <w:t>平面布置图详见附图</w:t>
            </w:r>
            <w:r>
              <w:rPr>
                <w:rFonts w:hint="eastAsia" w:ascii="Times New Roman" w:hAnsi="Times New Roman" w:cs="Times New Roman"/>
                <w:color w:val="auto"/>
              </w:rPr>
              <w:t>5</w:t>
            </w:r>
            <w:r>
              <w:rPr>
                <w:rFonts w:ascii="Times New Roman" w:hAnsi="Times New Roman" w:cs="Times New Roman"/>
                <w:color w:val="auto"/>
              </w:rPr>
              <w:t>。</w:t>
            </w:r>
          </w:p>
          <w:p>
            <w:pPr>
              <w:pStyle w:val="2"/>
              <w:spacing w:after="0"/>
              <w:ind w:firstLine="480" w:firstLineChars="200"/>
              <w:jc w:val="left"/>
              <w:rPr>
                <w:rFonts w:ascii="Times New Roman" w:hAnsi="Times New Roman" w:cs="Times New Roman"/>
                <w:color w:val="auto"/>
              </w:rPr>
            </w:pPr>
            <w:r>
              <w:rPr>
                <w:rFonts w:ascii="Times New Roman" w:hAnsi="Times New Roman" w:cs="Times New Roman"/>
                <w:color w:val="auto"/>
              </w:rPr>
              <w:t>项目主要建设项目一览表见表1-2。</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表1-2 建设项目组成一览表</w:t>
            </w:r>
          </w:p>
          <w:tbl>
            <w:tblPr>
              <w:tblStyle w:val="18"/>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680"/>
              <w:gridCol w:w="1679"/>
              <w:gridCol w:w="3479"/>
              <w:gridCol w:w="223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6"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类别</w:t>
                  </w:r>
                </w:p>
              </w:tc>
              <w:tc>
                <w:tcPr>
                  <w:tcW w:w="925"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工程项目</w:t>
                  </w:r>
                </w:p>
              </w:tc>
              <w:tc>
                <w:tcPr>
                  <w:tcW w:w="1917"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建设内容</w:t>
                  </w:r>
                </w:p>
              </w:tc>
              <w:tc>
                <w:tcPr>
                  <w:tcW w:w="1230"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6"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主体工程</w:t>
                  </w:r>
                </w:p>
              </w:tc>
              <w:tc>
                <w:tcPr>
                  <w:tcW w:w="925"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锅炉房</w:t>
                  </w:r>
                </w:p>
              </w:tc>
              <w:tc>
                <w:tcPr>
                  <w:tcW w:w="1917"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新建</w:t>
                  </w:r>
                  <w:r>
                    <w:rPr>
                      <w:rFonts w:hint="eastAsia" w:ascii="Times New Roman" w:hAnsi="Times New Roman" w:cs="Times New Roman"/>
                      <w:color w:val="auto"/>
                      <w:sz w:val="21"/>
                      <w:szCs w:val="21"/>
                    </w:rPr>
                    <w:t>1台1</w:t>
                  </w:r>
                  <w:r>
                    <w:rPr>
                      <w:rFonts w:ascii="Times New Roman" w:hAnsi="Times New Roman" w:cs="Times New Roman"/>
                      <w:color w:val="auto"/>
                      <w:sz w:val="21"/>
                      <w:szCs w:val="21"/>
                    </w:rPr>
                    <w:t>5t/h的天然气锅炉，</w:t>
                  </w:r>
                  <w:r>
                    <w:rPr>
                      <w:rFonts w:hint="eastAsia" w:ascii="Times New Roman" w:hAnsi="Times New Roman" w:cs="Times New Roman"/>
                      <w:color w:val="auto"/>
                      <w:sz w:val="21"/>
                      <w:szCs w:val="21"/>
                    </w:rPr>
                    <w:t>新建1</w:t>
                  </w:r>
                  <w:r>
                    <w:rPr>
                      <w:rFonts w:ascii="Times New Roman" w:hAnsi="Times New Roman" w:cs="Times New Roman"/>
                      <w:color w:val="auto"/>
                      <w:sz w:val="21"/>
                      <w:szCs w:val="21"/>
                    </w:rPr>
                    <w:t>根</w:t>
                  </w:r>
                  <w:r>
                    <w:rPr>
                      <w:rFonts w:hint="eastAsia" w:ascii="Times New Roman" w:hAnsi="Times New Roman" w:cs="Times New Roman"/>
                      <w:color w:val="auto"/>
                      <w:sz w:val="21"/>
                      <w:szCs w:val="21"/>
                    </w:rPr>
                    <w:t>2</w:t>
                  </w:r>
                  <w:r>
                    <w:rPr>
                      <w:rFonts w:hint="eastAsia" w:ascii="Times New Roman" w:hAnsi="Times New Roman" w:cs="Times New Roman"/>
                      <w:color w:val="auto"/>
                      <w:sz w:val="21"/>
                      <w:szCs w:val="21"/>
                      <w:lang w:val="en-US" w:eastAsia="zh-CN"/>
                    </w:rPr>
                    <w:t>3</w:t>
                  </w:r>
                  <w:r>
                    <w:rPr>
                      <w:rFonts w:hint="eastAsia" w:ascii="Times New Roman" w:hAnsi="Times New Roman" w:cs="Times New Roman"/>
                      <w:color w:val="auto"/>
                      <w:sz w:val="21"/>
                      <w:szCs w:val="21"/>
                    </w:rPr>
                    <w:t>m烟囱</w:t>
                  </w:r>
                </w:p>
              </w:tc>
              <w:tc>
                <w:tcPr>
                  <w:tcW w:w="1230"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在现有锅炉房建设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6" w:type="pct"/>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公用工程</w:t>
                  </w:r>
                </w:p>
              </w:tc>
              <w:tc>
                <w:tcPr>
                  <w:tcW w:w="925"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给水</w:t>
                  </w:r>
                </w:p>
              </w:tc>
              <w:tc>
                <w:tcPr>
                  <w:tcW w:w="191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市政自来水公司供给</w:t>
                  </w:r>
                </w:p>
              </w:tc>
              <w:tc>
                <w:tcPr>
                  <w:tcW w:w="123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依托现有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6"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925"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排水</w:t>
                  </w:r>
                </w:p>
              </w:tc>
              <w:tc>
                <w:tcPr>
                  <w:tcW w:w="191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依托厂区自建污水处理站处理后，由市政管网排入罗家坡污水处理厂</w:t>
                  </w:r>
                </w:p>
              </w:tc>
              <w:tc>
                <w:tcPr>
                  <w:tcW w:w="1230" w:type="pct"/>
                  <w:tcBorders>
                    <w:tl2br w:val="nil"/>
                    <w:tr2bl w:val="nil"/>
                  </w:tcBorders>
                  <w:vAlign w:val="center"/>
                </w:tcPr>
                <w:p>
                  <w:pPr>
                    <w:pStyle w:val="2"/>
                    <w:spacing w:after="0" w:line="240" w:lineRule="auto"/>
                    <w:jc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color w:val="auto"/>
                      <w:sz w:val="21"/>
                      <w:szCs w:val="21"/>
                      <w:lang w:eastAsia="zh-CN"/>
                    </w:rPr>
                    <w:t>依托现有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6"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925"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供电</w:t>
                  </w:r>
                </w:p>
              </w:tc>
              <w:tc>
                <w:tcPr>
                  <w:tcW w:w="191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当地电网</w:t>
                  </w:r>
                </w:p>
              </w:tc>
              <w:tc>
                <w:tcPr>
                  <w:tcW w:w="123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依托现有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6"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925"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供气</w:t>
                  </w:r>
                </w:p>
              </w:tc>
              <w:tc>
                <w:tcPr>
                  <w:tcW w:w="191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由岳阳华润燃气</w:t>
                  </w:r>
                  <w:r>
                    <w:rPr>
                      <w:rFonts w:ascii="Times New Roman" w:hAnsi="Times New Roman" w:cs="Times New Roman"/>
                      <w:color w:val="auto"/>
                      <w:sz w:val="21"/>
                      <w:szCs w:val="21"/>
                    </w:rPr>
                    <w:t>有限公司供给</w:t>
                  </w:r>
                </w:p>
              </w:tc>
              <w:tc>
                <w:tcPr>
                  <w:tcW w:w="123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依托现有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6" w:type="pct"/>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环保工程</w:t>
                  </w:r>
                </w:p>
              </w:tc>
              <w:tc>
                <w:tcPr>
                  <w:tcW w:w="925"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废气治理</w:t>
                  </w:r>
                </w:p>
              </w:tc>
              <w:tc>
                <w:tcPr>
                  <w:tcW w:w="191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分体式低氮燃烧器+烟气再循环低氮燃烧技术</w:t>
                  </w:r>
                </w:p>
              </w:tc>
              <w:tc>
                <w:tcPr>
                  <w:tcW w:w="123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经自带低氮燃烧器处理后由</w:t>
                  </w:r>
                  <w:r>
                    <w:rPr>
                      <w:rFonts w:hint="eastAsia" w:ascii="Times New Roman" w:hAnsi="Times New Roman" w:cs="Times New Roman"/>
                      <w:color w:val="auto"/>
                      <w:sz w:val="21"/>
                      <w:szCs w:val="21"/>
                    </w:rPr>
                    <w:t>2</w:t>
                  </w:r>
                  <w:r>
                    <w:rPr>
                      <w:rFonts w:hint="eastAsia" w:ascii="Times New Roman" w:hAnsi="Times New Roman" w:cs="Times New Roman"/>
                      <w:color w:val="auto"/>
                      <w:sz w:val="21"/>
                      <w:szCs w:val="21"/>
                      <w:lang w:val="en-US" w:eastAsia="zh-CN"/>
                    </w:rPr>
                    <w:t>3</w:t>
                  </w:r>
                  <w:r>
                    <w:rPr>
                      <w:rFonts w:ascii="Times New Roman" w:hAnsi="Times New Roman" w:cs="Times New Roman"/>
                      <w:color w:val="auto"/>
                      <w:sz w:val="21"/>
                      <w:szCs w:val="21"/>
                    </w:rPr>
                    <w:t>米排气筒高空排放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6"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925"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废水治理</w:t>
                  </w:r>
                </w:p>
              </w:tc>
              <w:tc>
                <w:tcPr>
                  <w:tcW w:w="191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锅炉排污水、软水制备废水</w:t>
                  </w:r>
                </w:p>
              </w:tc>
              <w:tc>
                <w:tcPr>
                  <w:tcW w:w="123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依托厂区</w:t>
                  </w:r>
                  <w:r>
                    <w:rPr>
                      <w:rFonts w:hint="eastAsia" w:ascii="Times New Roman" w:hAnsi="Times New Roman" w:cs="Times New Roman"/>
                      <w:color w:val="auto"/>
                      <w:sz w:val="21"/>
                      <w:szCs w:val="21"/>
                      <w:lang w:eastAsia="zh-CN"/>
                    </w:rPr>
                    <w:t>排污降温池和</w:t>
                  </w:r>
                  <w:r>
                    <w:rPr>
                      <w:rFonts w:ascii="Times New Roman" w:hAnsi="Times New Roman" w:cs="Times New Roman"/>
                      <w:color w:val="auto"/>
                      <w:sz w:val="21"/>
                      <w:szCs w:val="21"/>
                    </w:rPr>
                    <w:t>自建污水处理站处理后，由市政管网排入罗家坡污水处理厂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6"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925"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噪声治理</w:t>
                  </w:r>
                </w:p>
              </w:tc>
              <w:tc>
                <w:tcPr>
                  <w:tcW w:w="1917"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锅炉设备运转噪声</w:t>
                  </w:r>
                </w:p>
              </w:tc>
              <w:tc>
                <w:tcPr>
                  <w:tcW w:w="123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距离衰减、</w:t>
                  </w:r>
                  <w:r>
                    <w:rPr>
                      <w:rFonts w:hint="eastAsia" w:ascii="Times New Roman" w:hAnsi="Times New Roman" w:cs="Times New Roman"/>
                      <w:color w:val="auto"/>
                      <w:sz w:val="21"/>
                      <w:szCs w:val="21"/>
                      <w:lang w:eastAsia="zh-CN"/>
                    </w:rPr>
                    <w:t>安装减震垫</w:t>
                  </w:r>
                  <w:r>
                    <w:rPr>
                      <w:rFonts w:hint="eastAsia" w:ascii="Times New Roman" w:hAnsi="Times New Roman" w:cs="Times New Roman"/>
                      <w:color w:val="auto"/>
                      <w:sz w:val="21"/>
                      <w:szCs w:val="21"/>
                    </w:rPr>
                    <w:t>减震、厂房隔声</w:t>
                  </w:r>
                </w:p>
              </w:tc>
            </w:tr>
          </w:tbl>
          <w:p>
            <w:pPr>
              <w:pStyle w:val="5"/>
              <w:ind w:firstLine="562"/>
              <w:outlineLvl w:val="1"/>
              <w:rPr>
                <w:rFonts w:cs="Times New Roman"/>
                <w:color w:val="auto"/>
              </w:rPr>
            </w:pPr>
            <w:r>
              <w:rPr>
                <w:rFonts w:hint="eastAsia" w:cs="Times New Roman"/>
                <w:color w:val="auto"/>
                <w:lang w:val="en-US" w:eastAsia="zh-CN"/>
              </w:rPr>
              <w:t>5</w:t>
            </w:r>
            <w:r>
              <w:rPr>
                <w:rFonts w:cs="Times New Roman"/>
                <w:color w:val="auto"/>
              </w:rPr>
              <w:t>、主要设备清单</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表1-</w:t>
            </w:r>
            <w:r>
              <w:rPr>
                <w:rFonts w:hint="eastAsia" w:ascii="Times New Roman" w:hAnsi="Times New Roman" w:cs="Times New Roman"/>
                <w:b/>
                <w:bCs/>
                <w:color w:val="auto"/>
              </w:rPr>
              <w:t>3</w:t>
            </w:r>
            <w:r>
              <w:rPr>
                <w:rFonts w:ascii="Times New Roman" w:hAnsi="Times New Roman" w:cs="Times New Roman"/>
                <w:b/>
                <w:bCs/>
                <w:color w:val="auto"/>
              </w:rPr>
              <w:t xml:space="preserve">  主要设备清单一览表</w:t>
            </w:r>
          </w:p>
          <w:tbl>
            <w:tblPr>
              <w:tblStyle w:val="18"/>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97"/>
              <w:gridCol w:w="2102"/>
              <w:gridCol w:w="926"/>
              <w:gridCol w:w="820"/>
              <w:gridCol w:w="806"/>
              <w:gridCol w:w="351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序号</w:t>
                  </w:r>
                </w:p>
              </w:tc>
              <w:tc>
                <w:tcPr>
                  <w:tcW w:w="1164"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名称</w:t>
                  </w:r>
                </w:p>
              </w:tc>
              <w:tc>
                <w:tcPr>
                  <w:tcW w:w="480"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规格</w:t>
                  </w:r>
                </w:p>
              </w:tc>
              <w:tc>
                <w:tcPr>
                  <w:tcW w:w="458"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数量</w:t>
                  </w:r>
                </w:p>
              </w:tc>
              <w:tc>
                <w:tcPr>
                  <w:tcW w:w="450"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单位</w:t>
                  </w:r>
                </w:p>
              </w:tc>
              <w:tc>
                <w:tcPr>
                  <w:tcW w:w="1945"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1164"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天然气锅炉</w:t>
                  </w:r>
                </w:p>
              </w:tc>
              <w:tc>
                <w:tcPr>
                  <w:tcW w:w="480"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15t/h</w:t>
                  </w:r>
                </w:p>
              </w:tc>
              <w:tc>
                <w:tcPr>
                  <w:tcW w:w="458"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450"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台</w:t>
                  </w:r>
                </w:p>
              </w:tc>
              <w:tc>
                <w:tcPr>
                  <w:tcW w:w="1945"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在现有锅炉房新建</w:t>
                  </w:r>
                  <w:r>
                    <w:rPr>
                      <w:rFonts w:hint="eastAsia" w:ascii="Times New Roman" w:hAnsi="Times New Roman" w:cs="Times New Roman"/>
                      <w:color w:val="auto"/>
                      <w:sz w:val="21"/>
                      <w:szCs w:val="21"/>
                    </w:rPr>
                    <w:t>，中正WNS15-1.25-Y，Q锅炉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1164"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烟囱</w:t>
                  </w:r>
                </w:p>
              </w:tc>
              <w:tc>
                <w:tcPr>
                  <w:tcW w:w="48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w:t>
                  </w:r>
                </w:p>
              </w:tc>
              <w:tc>
                <w:tcPr>
                  <w:tcW w:w="458"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w:t>
                  </w:r>
                </w:p>
              </w:tc>
              <w:tc>
                <w:tcPr>
                  <w:tcW w:w="45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个</w:t>
                  </w:r>
                </w:p>
              </w:tc>
              <w:tc>
                <w:tcPr>
                  <w:tcW w:w="1945"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新建2</w:t>
                  </w:r>
                  <w:r>
                    <w:rPr>
                      <w:rFonts w:hint="eastAsia" w:ascii="Times New Roman" w:hAnsi="Times New Roman" w:cs="Times New Roman"/>
                      <w:color w:val="auto"/>
                      <w:sz w:val="21"/>
                      <w:szCs w:val="21"/>
                      <w:lang w:val="en-US" w:eastAsia="zh-CN"/>
                    </w:rPr>
                    <w:t>3</w:t>
                  </w:r>
                  <w:r>
                    <w:rPr>
                      <w:rFonts w:hint="eastAsia" w:ascii="Times New Roman" w:hAnsi="Times New Roman" w:cs="Times New Roman"/>
                      <w:color w:val="auto"/>
                      <w:sz w:val="21"/>
                      <w:szCs w:val="21"/>
                    </w:rPr>
                    <w:t>m排气筒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3</w:t>
                  </w:r>
                </w:p>
              </w:tc>
              <w:tc>
                <w:tcPr>
                  <w:tcW w:w="1164"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天然气管网</w:t>
                  </w:r>
                </w:p>
              </w:tc>
              <w:tc>
                <w:tcPr>
                  <w:tcW w:w="48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w:t>
                  </w:r>
                </w:p>
              </w:tc>
              <w:tc>
                <w:tcPr>
                  <w:tcW w:w="458"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w:t>
                  </w:r>
                </w:p>
              </w:tc>
              <w:tc>
                <w:tcPr>
                  <w:tcW w:w="45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套</w:t>
                  </w:r>
                </w:p>
              </w:tc>
              <w:tc>
                <w:tcPr>
                  <w:tcW w:w="1945"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依托现有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w:t>
                  </w:r>
                </w:p>
              </w:tc>
              <w:tc>
                <w:tcPr>
                  <w:tcW w:w="1164" w:type="pct"/>
                  <w:tcBorders>
                    <w:tl2br w:val="nil"/>
                    <w:tr2bl w:val="nil"/>
                  </w:tcBorders>
                  <w:vAlign w:val="center"/>
                </w:tcPr>
                <w:p>
                  <w:pPr>
                    <w:pStyle w:val="2"/>
                    <w:spacing w:after="0" w:line="240" w:lineRule="auto"/>
                    <w:jc w:val="center"/>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污水处理站</w:t>
                  </w:r>
                </w:p>
              </w:tc>
              <w:tc>
                <w:tcPr>
                  <w:tcW w:w="480" w:type="pct"/>
                  <w:tcBorders>
                    <w:tl2br w:val="nil"/>
                    <w:tr2bl w:val="nil"/>
                  </w:tcBorders>
                  <w:vAlign w:val="center"/>
                </w:tcPr>
                <w:p>
                  <w:pPr>
                    <w:pStyle w:val="2"/>
                    <w:spacing w:after="0" w:line="240" w:lineRule="auto"/>
                    <w:jc w:val="center"/>
                    <w:rPr>
                      <w:rFonts w:hint="eastAsia" w:ascii="Times New Roman" w:hAnsi="Times New Roman" w:cs="Times New Roman"/>
                      <w:color w:val="auto"/>
                      <w:sz w:val="21"/>
                      <w:szCs w:val="21"/>
                    </w:rPr>
                  </w:pPr>
                  <w:r>
                    <w:rPr>
                      <w:rFonts w:ascii="Times New Roman" w:hAnsi="Times New Roman" w:cs="Times New Roman"/>
                      <w:color w:val="auto"/>
                      <w:sz w:val="21"/>
                      <w:szCs w:val="21"/>
                    </w:rPr>
                    <w:t>600</w:t>
                  </w:r>
                  <w:r>
                    <w:rPr>
                      <w:rFonts w:hint="eastAsia" w:ascii="Times New Roman" w:hAnsi="Times New Roman" w:cs="Times New Roman"/>
                      <w:color w:val="auto"/>
                      <w:sz w:val="21"/>
                      <w:szCs w:val="21"/>
                      <w:lang w:val="en-US" w:eastAsia="zh-CN"/>
                    </w:rPr>
                    <w:t>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/d</w:t>
                  </w:r>
                </w:p>
              </w:tc>
              <w:tc>
                <w:tcPr>
                  <w:tcW w:w="458" w:type="pct"/>
                  <w:tcBorders>
                    <w:tl2br w:val="nil"/>
                    <w:tr2bl w:val="nil"/>
                  </w:tcBorders>
                  <w:vAlign w:val="center"/>
                </w:tcPr>
                <w:p>
                  <w:pPr>
                    <w:pStyle w:val="2"/>
                    <w:spacing w:after="0" w:line="240" w:lineRule="auto"/>
                    <w:jc w:val="center"/>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1</w:t>
                  </w:r>
                </w:p>
              </w:tc>
              <w:tc>
                <w:tcPr>
                  <w:tcW w:w="450" w:type="pct"/>
                  <w:tcBorders>
                    <w:tl2br w:val="nil"/>
                    <w:tr2bl w:val="nil"/>
                  </w:tcBorders>
                  <w:vAlign w:val="center"/>
                </w:tcPr>
                <w:p>
                  <w:pPr>
                    <w:pStyle w:val="2"/>
                    <w:spacing w:after="0" w:line="240" w:lineRule="auto"/>
                    <w:jc w:val="center"/>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座</w:t>
                  </w:r>
                </w:p>
              </w:tc>
              <w:tc>
                <w:tcPr>
                  <w:tcW w:w="1945"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依托现有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 w:type="pct"/>
                  <w:tcBorders>
                    <w:tl2br w:val="nil"/>
                    <w:tr2bl w:val="nil"/>
                  </w:tcBorders>
                  <w:vAlign w:val="center"/>
                </w:tcPr>
                <w:p>
                  <w:pPr>
                    <w:pStyle w:val="2"/>
                    <w:spacing w:after="0" w:line="240" w:lineRule="auto"/>
                    <w:jc w:val="center"/>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5</w:t>
                  </w:r>
                </w:p>
              </w:tc>
              <w:tc>
                <w:tcPr>
                  <w:tcW w:w="1164" w:type="pct"/>
                  <w:tcBorders>
                    <w:tl2br w:val="nil"/>
                    <w:tr2bl w:val="nil"/>
                  </w:tcBorders>
                  <w:vAlign w:val="center"/>
                </w:tcPr>
                <w:p>
                  <w:pPr>
                    <w:pStyle w:val="2"/>
                    <w:spacing w:after="0" w:line="240" w:lineRule="auto"/>
                    <w:jc w:val="center"/>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排污降温池</w:t>
                  </w:r>
                </w:p>
              </w:tc>
              <w:tc>
                <w:tcPr>
                  <w:tcW w:w="480" w:type="pct"/>
                  <w:tcBorders>
                    <w:tl2br w:val="nil"/>
                    <w:tr2bl w:val="nil"/>
                  </w:tcBorders>
                  <w:vAlign w:val="center"/>
                </w:tcPr>
                <w:p>
                  <w:pPr>
                    <w:pStyle w:val="2"/>
                    <w:spacing w:after="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18m</w:t>
                  </w:r>
                  <w:r>
                    <w:rPr>
                      <w:rFonts w:hint="eastAsia" w:ascii="Times New Roman" w:hAnsi="Times New Roman" w:cs="Times New Roman"/>
                      <w:color w:val="auto"/>
                      <w:sz w:val="21"/>
                      <w:szCs w:val="21"/>
                      <w:vertAlign w:val="superscript"/>
                      <w:lang w:val="en-US" w:eastAsia="zh-CN"/>
                    </w:rPr>
                    <w:t>3</w:t>
                  </w:r>
                  <w:r>
                    <w:rPr>
                      <w:rFonts w:hint="eastAsia" w:ascii="Times New Roman" w:hAnsi="Times New Roman" w:cs="Times New Roman"/>
                      <w:color w:val="auto"/>
                      <w:sz w:val="21"/>
                      <w:szCs w:val="21"/>
                      <w:lang w:val="en-US" w:eastAsia="zh-CN"/>
                    </w:rPr>
                    <w:t>/d</w:t>
                  </w:r>
                </w:p>
              </w:tc>
              <w:tc>
                <w:tcPr>
                  <w:tcW w:w="458" w:type="pct"/>
                  <w:tcBorders>
                    <w:tl2br w:val="nil"/>
                    <w:tr2bl w:val="nil"/>
                  </w:tcBorders>
                  <w:vAlign w:val="center"/>
                </w:tcPr>
                <w:p>
                  <w:pPr>
                    <w:pStyle w:val="2"/>
                    <w:spacing w:after="0" w:line="24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1</w:t>
                  </w:r>
                </w:p>
              </w:tc>
              <w:tc>
                <w:tcPr>
                  <w:tcW w:w="450" w:type="pct"/>
                  <w:tcBorders>
                    <w:tl2br w:val="nil"/>
                    <w:tr2bl w:val="nil"/>
                  </w:tcBorders>
                  <w:vAlign w:val="center"/>
                </w:tcPr>
                <w:p>
                  <w:pPr>
                    <w:pStyle w:val="2"/>
                    <w:spacing w:after="0" w:line="24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座</w:t>
                  </w:r>
                </w:p>
              </w:tc>
              <w:tc>
                <w:tcPr>
                  <w:tcW w:w="1945" w:type="pct"/>
                  <w:tcBorders>
                    <w:tl2br w:val="nil"/>
                    <w:tr2bl w:val="nil"/>
                  </w:tcBorders>
                  <w:vAlign w:val="center"/>
                </w:tcPr>
                <w:p>
                  <w:pPr>
                    <w:pStyle w:val="2"/>
                    <w:spacing w:after="0" w:line="240" w:lineRule="auto"/>
                    <w:jc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color w:val="auto"/>
                      <w:sz w:val="21"/>
                      <w:szCs w:val="21"/>
                      <w:lang w:eastAsia="zh-CN"/>
                    </w:rPr>
                    <w:t>依托现有</w:t>
                  </w:r>
                </w:p>
              </w:tc>
            </w:tr>
          </w:tbl>
          <w:p>
            <w:pPr>
              <w:pStyle w:val="5"/>
              <w:ind w:firstLine="562"/>
              <w:outlineLvl w:val="1"/>
              <w:rPr>
                <w:rFonts w:cs="Times New Roman"/>
                <w:color w:val="auto"/>
              </w:rPr>
            </w:pPr>
            <w:r>
              <w:rPr>
                <w:rFonts w:hint="eastAsia" w:cs="Times New Roman"/>
                <w:color w:val="auto"/>
                <w:lang w:val="en-US" w:eastAsia="zh-CN"/>
              </w:rPr>
              <w:t>6</w:t>
            </w:r>
            <w:r>
              <w:rPr>
                <w:rFonts w:cs="Times New Roman"/>
                <w:color w:val="auto"/>
              </w:rPr>
              <w:t>、公用工程</w:t>
            </w:r>
          </w:p>
          <w:p>
            <w:pPr>
              <w:pStyle w:val="2"/>
              <w:spacing w:after="0"/>
              <w:ind w:firstLine="480" w:firstLineChars="200"/>
              <w:jc w:val="left"/>
              <w:rPr>
                <w:rFonts w:ascii="Times New Roman" w:hAnsi="Times New Roman" w:cs="Times New Roman"/>
                <w:color w:val="auto"/>
              </w:rPr>
            </w:pPr>
            <w:r>
              <w:rPr>
                <w:rFonts w:ascii="Times New Roman" w:hAnsi="Times New Roman" w:cs="Times New Roman"/>
                <w:color w:val="auto"/>
              </w:rPr>
              <w:t>（1）给排水</w:t>
            </w:r>
          </w:p>
          <w:p>
            <w:pPr>
              <w:pStyle w:val="2"/>
              <w:spacing w:after="0"/>
              <w:ind w:firstLine="480" w:firstLineChars="200"/>
              <w:jc w:val="left"/>
              <w:rPr>
                <w:rFonts w:ascii="Times New Roman" w:hAnsi="Times New Roman" w:cs="Times New Roman"/>
                <w:color w:val="auto"/>
              </w:rPr>
            </w:pPr>
            <w:r>
              <w:rPr>
                <w:rFonts w:ascii="Times New Roman" w:hAnsi="Times New Roman" w:cs="Times New Roman"/>
                <w:color w:val="auto"/>
              </w:rPr>
              <w:t>项目给水依托厂区现有供水系统，生活、生产及锅炉用水来自岳阳市自来水公司。项目废水主要包括</w:t>
            </w:r>
            <w:r>
              <w:rPr>
                <w:rFonts w:hint="eastAsia" w:ascii="Times New Roman" w:hAnsi="Times New Roman" w:cs="Times New Roman"/>
                <w:color w:val="auto"/>
              </w:rPr>
              <w:t>锅炉排污水及软水制备废水</w:t>
            </w:r>
            <w:r>
              <w:rPr>
                <w:rFonts w:ascii="Times New Roman" w:hAnsi="Times New Roman" w:cs="Times New Roman"/>
                <w:color w:val="auto"/>
              </w:rPr>
              <w:t>，废水经厂区</w:t>
            </w:r>
            <w:r>
              <w:rPr>
                <w:rFonts w:hint="eastAsia" w:ascii="Times New Roman" w:hAnsi="Times New Roman" w:cs="Times New Roman"/>
                <w:color w:val="auto"/>
                <w:lang w:eastAsia="zh-CN"/>
              </w:rPr>
              <w:t>排污降温池和</w:t>
            </w:r>
            <w:r>
              <w:rPr>
                <w:rFonts w:ascii="Times New Roman" w:hAnsi="Times New Roman" w:cs="Times New Roman"/>
                <w:color w:val="auto"/>
              </w:rPr>
              <w:t>自建污水处理站处理后经由市政管网排入罗家坡污水处理厂。</w:t>
            </w:r>
          </w:p>
          <w:p>
            <w:pPr>
              <w:ind w:firstLine="480" w:firstLineChars="200"/>
              <w:rPr>
                <w:color w:val="auto"/>
              </w:rPr>
            </w:pPr>
            <w:r>
              <w:rPr>
                <w:color w:val="auto"/>
                <w:sz w:val="24"/>
              </w:rPr>
              <w:pict>
                <v:shape id="_x0000_s1031" o:spid="_x0000_s1031" o:spt="75" type="#_x0000_t75" style="position:absolute;left:0pt;margin-left:17.3pt;margin-top:23.95pt;height:119.1pt;width:418.9pt;z-index:251668480;mso-width-relative:page;mso-height-relative:page;" o:ole="t" filled="f" o:preferrelative="t" stroked="f" coordsize="21600,21600">
                  <v:path/>
                  <v:fill on="f" focussize="0,0"/>
                  <v:stroke on="f"/>
                  <v:imagedata r:id="rId6" o:title=""/>
                  <o:lock v:ext="edit" aspectratio="f"/>
                </v:shape>
                <o:OLEObject Type="Embed" ProgID="Visio.Drawing.15" ShapeID="_x0000_s1031" DrawAspect="Content" ObjectID="_1468075725" r:id="rId5">
                  <o:LockedField>false</o:LockedField>
                </o:OLEObject>
              </w:pict>
            </w:r>
            <w:r>
              <w:rPr>
                <w:rFonts w:hint="eastAsia"/>
                <w:b/>
                <w:bCs/>
                <w:color w:val="auto"/>
              </w:rPr>
              <w:t>本项目水平衡图如下：</w:t>
            </w:r>
          </w:p>
          <w:p>
            <w:pPr>
              <w:rPr>
                <w:color w:val="auto"/>
              </w:rPr>
            </w:pPr>
          </w:p>
          <w:p>
            <w:pPr>
              <w:rPr>
                <w:color w:val="auto"/>
              </w:rPr>
            </w:pPr>
          </w:p>
          <w:p>
            <w:pPr>
              <w:rPr>
                <w:color w:val="auto"/>
              </w:rPr>
            </w:pPr>
          </w:p>
          <w:p>
            <w:pPr>
              <w:keepNext w:val="0"/>
              <w:keepLines w:val="0"/>
              <w:pageBreakBefore w:val="0"/>
              <w:widowControl w:val="0"/>
              <w:kinsoku/>
              <w:wordWrap/>
              <w:overflowPunct/>
              <w:topLinePunct w:val="0"/>
              <w:autoSpaceDE/>
              <w:autoSpaceDN/>
              <w:bidi w:val="0"/>
              <w:adjustRightInd/>
              <w:snapToGrid/>
              <w:spacing w:before="313" w:beforeLines="100"/>
              <w:textAlignment w:val="auto"/>
              <w:rPr>
                <w:color w:val="auto"/>
              </w:rPr>
            </w:pPr>
          </w:p>
          <w:p>
            <w:pPr>
              <w:pStyle w:val="15"/>
              <w:spacing w:after="0"/>
              <w:ind w:firstLine="0" w:firstLineChars="0"/>
              <w:jc w:val="center"/>
              <w:rPr>
                <w:rFonts w:eastAsia="宋体"/>
                <w:color w:val="auto"/>
              </w:rPr>
            </w:pPr>
            <w:r>
              <w:rPr>
                <w:rFonts w:hint="eastAsia" w:ascii="Times New Roman" w:hAnsi="Times New Roman" w:eastAsia="宋体"/>
                <w:b/>
                <w:bCs/>
                <w:color w:val="auto"/>
                <w:spacing w:val="6"/>
                <w:kern w:val="0"/>
              </w:rPr>
              <w:t xml:space="preserve">图1-1  </w:t>
            </w:r>
            <w:r>
              <w:rPr>
                <w:rFonts w:ascii="Times New Roman" w:hAnsi="Times New Roman" w:eastAsia="宋体"/>
                <w:b/>
                <w:bCs/>
                <w:color w:val="auto"/>
                <w:spacing w:val="6"/>
                <w:kern w:val="0"/>
              </w:rPr>
              <w:t>项目水平衡图 单位：m³/</w:t>
            </w:r>
            <w:r>
              <w:rPr>
                <w:rFonts w:hint="eastAsia" w:ascii="Times New Roman" w:hAnsi="Times New Roman" w:eastAsia="宋体"/>
                <w:b/>
                <w:bCs/>
                <w:color w:val="auto"/>
                <w:spacing w:val="6"/>
                <w:kern w:val="0"/>
              </w:rPr>
              <w:t>a</w:t>
            </w:r>
          </w:p>
          <w:p>
            <w:pPr>
              <w:pStyle w:val="2"/>
              <w:numPr>
                <w:ilvl w:val="0"/>
                <w:numId w:val="3"/>
              </w:numPr>
              <w:spacing w:after="0"/>
              <w:ind w:firstLine="480" w:firstLineChars="200"/>
              <w:jc w:val="left"/>
              <w:rPr>
                <w:rFonts w:ascii="Times New Roman" w:hAnsi="Times New Roman" w:cs="Times New Roman"/>
                <w:color w:val="auto"/>
              </w:rPr>
            </w:pPr>
            <w:r>
              <w:rPr>
                <w:rFonts w:ascii="Times New Roman" w:hAnsi="Times New Roman" w:cs="Times New Roman"/>
                <w:color w:val="auto"/>
              </w:rPr>
              <w:t>供电</w:t>
            </w:r>
          </w:p>
          <w:p>
            <w:pPr>
              <w:pStyle w:val="2"/>
              <w:spacing w:after="0"/>
              <w:ind w:firstLine="480" w:firstLineChars="200"/>
              <w:jc w:val="left"/>
              <w:rPr>
                <w:rFonts w:ascii="Times New Roman" w:hAnsi="Times New Roman" w:cs="Times New Roman"/>
                <w:color w:val="auto"/>
              </w:rPr>
            </w:pPr>
            <w:r>
              <w:rPr>
                <w:rFonts w:ascii="Times New Roman" w:hAnsi="Times New Roman" w:cs="Times New Roman"/>
                <w:color w:val="auto"/>
              </w:rPr>
              <w:t>厂区的供电由市政电力干线网供给，并由厂区的配电间供给各用电场所。供电网络系统</w:t>
            </w:r>
            <w:r>
              <w:rPr>
                <w:rFonts w:hint="eastAsia" w:ascii="Times New Roman" w:hAnsi="Times New Roman" w:cs="Times New Roman"/>
                <w:color w:val="auto"/>
              </w:rPr>
              <w:t>完整</w:t>
            </w:r>
            <w:r>
              <w:rPr>
                <w:rFonts w:ascii="Times New Roman" w:hAnsi="Times New Roman" w:cs="Times New Roman"/>
                <w:color w:val="auto"/>
              </w:rPr>
              <w:t>，电力供应充足，厂内设有</w:t>
            </w:r>
            <w:r>
              <w:rPr>
                <w:rFonts w:ascii="Times New Roman" w:hAnsi="Times New Roman" w:cs="Times New Roman"/>
                <w:color w:val="auto"/>
                <w:lang w:val="zh-TW"/>
              </w:rPr>
              <w:t>30kw备用发电机一台，可提供备用电力来源</w:t>
            </w:r>
            <w:r>
              <w:rPr>
                <w:rFonts w:ascii="Times New Roman" w:hAnsi="Times New Roman" w:cs="Times New Roman"/>
                <w:color w:val="auto"/>
              </w:rPr>
              <w:t>。</w:t>
            </w:r>
          </w:p>
          <w:p>
            <w:pPr>
              <w:pStyle w:val="2"/>
              <w:numPr>
                <w:ilvl w:val="0"/>
                <w:numId w:val="3"/>
              </w:numPr>
              <w:spacing w:after="0"/>
              <w:ind w:firstLine="480" w:firstLineChars="200"/>
              <w:jc w:val="left"/>
              <w:rPr>
                <w:rFonts w:ascii="Times New Roman" w:hAnsi="Times New Roman" w:cs="Times New Roman"/>
                <w:color w:val="auto"/>
              </w:rPr>
            </w:pPr>
            <w:r>
              <w:rPr>
                <w:rFonts w:ascii="Times New Roman" w:hAnsi="Times New Roman" w:cs="Times New Roman"/>
                <w:color w:val="auto"/>
              </w:rPr>
              <w:t>供气</w:t>
            </w:r>
          </w:p>
          <w:p>
            <w:pPr>
              <w:ind w:firstLine="480" w:firstLineChars="200"/>
              <w:rPr>
                <w:color w:val="auto"/>
              </w:rPr>
            </w:pPr>
            <w:r>
              <w:rPr>
                <w:color w:val="auto"/>
              </w:rPr>
              <w:t>项目供气</w:t>
            </w:r>
            <w:r>
              <w:rPr>
                <w:rFonts w:hint="eastAsia"/>
                <w:color w:val="auto"/>
              </w:rPr>
              <w:t>由岳阳华润燃气</w:t>
            </w:r>
            <w:r>
              <w:rPr>
                <w:color w:val="auto"/>
              </w:rPr>
              <w:t>有限公司供给</w:t>
            </w:r>
            <w:r>
              <w:rPr>
                <w:rFonts w:hint="eastAsia"/>
                <w:color w:val="auto"/>
              </w:rPr>
              <w:t>。</w:t>
            </w:r>
          </w:p>
          <w:p>
            <w:pPr>
              <w:pStyle w:val="2"/>
              <w:numPr>
                <w:ilvl w:val="0"/>
                <w:numId w:val="3"/>
              </w:numPr>
              <w:spacing w:after="0"/>
              <w:ind w:firstLine="480" w:firstLineChars="200"/>
              <w:jc w:val="left"/>
              <w:rPr>
                <w:rFonts w:ascii="Times New Roman" w:hAnsi="Times New Roman" w:cs="Times New Roman"/>
                <w:color w:val="auto"/>
              </w:rPr>
            </w:pPr>
            <w:r>
              <w:rPr>
                <w:rFonts w:hint="eastAsia" w:ascii="Times New Roman" w:hAnsi="Times New Roman" w:cs="Times New Roman"/>
                <w:color w:val="auto"/>
              </w:rPr>
              <w:t>能源</w:t>
            </w:r>
          </w:p>
          <w:p>
            <w:pPr>
              <w:ind w:firstLine="480" w:firstLineChars="200"/>
              <w:rPr>
                <w:rFonts w:ascii="Times New Roman" w:hAnsi="Times New Roman" w:cs="Times New Roman"/>
                <w:color w:val="auto"/>
              </w:rPr>
            </w:pPr>
            <w:r>
              <w:rPr>
                <w:rFonts w:hint="eastAsia"/>
                <w:color w:val="auto"/>
              </w:rPr>
              <w:t>本项目</w:t>
            </w:r>
            <w:r>
              <w:rPr>
                <w:rFonts w:hint="eastAsia" w:ascii="Times New Roman" w:hAnsi="Times New Roman" w:cs="Times New Roman"/>
                <w:color w:val="auto"/>
              </w:rPr>
              <w:t>使用天然气作为燃料，年用量为149.87万m</w:t>
            </w:r>
            <w:r>
              <w:rPr>
                <w:rFonts w:hint="eastAsia" w:ascii="Times New Roman" w:hAnsi="Times New Roman" w:cs="Times New Roman"/>
                <w:color w:val="auto"/>
                <w:vertAlign w:val="superscript"/>
              </w:rPr>
              <w:t>3</w:t>
            </w:r>
            <w:r>
              <w:rPr>
                <w:rFonts w:hint="eastAsia" w:ascii="Times New Roman" w:hAnsi="Times New Roman" w:cs="Times New Roman"/>
                <w:color w:val="auto"/>
              </w:rPr>
              <w:t>/a，（根据建设单位</w:t>
            </w:r>
            <w:r>
              <w:rPr>
                <w:rFonts w:hint="eastAsia"/>
                <w:color w:val="auto"/>
              </w:rPr>
              <w:t>提供资料，</w:t>
            </w:r>
            <w:r>
              <w:rPr>
                <w:color w:val="auto"/>
              </w:rPr>
              <w:t>燃气消耗量为</w:t>
            </w:r>
            <w:r>
              <w:rPr>
                <w:rFonts w:ascii="Times New Roman" w:hAnsi="Times New Roman" w:cs="Times New Roman"/>
                <w:color w:val="auto"/>
              </w:rPr>
              <w:t>1040.77Nm</w:t>
            </w:r>
            <w:r>
              <w:rPr>
                <w:rFonts w:ascii="Times New Roman" w:hAnsi="Times New Roman" w:cs="Times New Roman"/>
                <w:color w:val="auto"/>
                <w:vertAlign w:val="superscript"/>
              </w:rPr>
              <w:t>3</w:t>
            </w:r>
            <w:r>
              <w:rPr>
                <w:rFonts w:ascii="Times New Roman" w:hAnsi="Times New Roman" w:cs="Times New Roman"/>
                <w:color w:val="auto"/>
              </w:rPr>
              <w:t>/h，</w:t>
            </w:r>
            <w:r>
              <w:rPr>
                <w:rFonts w:hint="eastAsia" w:ascii="Times New Roman" w:hAnsi="Times New Roman" w:cs="Times New Roman"/>
                <w:color w:val="auto"/>
              </w:rPr>
              <w:t>本项目由天然气管网供给</w:t>
            </w:r>
            <w:r>
              <w:rPr>
                <w:rFonts w:ascii="Times New Roman" w:hAnsi="Times New Roman" w:cs="Times New Roman"/>
                <w:color w:val="auto"/>
              </w:rPr>
              <w:t>）。</w:t>
            </w:r>
          </w:p>
          <w:p>
            <w:pPr>
              <w:pStyle w:val="5"/>
              <w:ind w:firstLine="562"/>
              <w:outlineLvl w:val="1"/>
              <w:rPr>
                <w:rFonts w:cs="Times New Roman"/>
                <w:color w:val="auto"/>
              </w:rPr>
            </w:pPr>
            <w:r>
              <w:rPr>
                <w:rFonts w:hint="eastAsia" w:cs="Times New Roman"/>
                <w:color w:val="auto"/>
                <w:lang w:val="en-US" w:eastAsia="zh-CN"/>
              </w:rPr>
              <w:t>7</w:t>
            </w:r>
            <w:r>
              <w:rPr>
                <w:rFonts w:cs="Times New Roman"/>
                <w:color w:val="auto"/>
              </w:rPr>
              <w:t>、原辅材料及能耗消耗情况</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表1-</w:t>
            </w:r>
            <w:r>
              <w:rPr>
                <w:rFonts w:hint="eastAsia" w:ascii="Times New Roman" w:hAnsi="Times New Roman" w:cs="Times New Roman"/>
                <w:b/>
                <w:bCs/>
                <w:color w:val="auto"/>
              </w:rPr>
              <w:t>4</w:t>
            </w:r>
            <w:r>
              <w:rPr>
                <w:rFonts w:ascii="Times New Roman" w:hAnsi="Times New Roman" w:cs="Times New Roman"/>
                <w:b/>
                <w:bCs/>
                <w:color w:val="auto"/>
              </w:rPr>
              <w:t xml:space="preserve">  原辅材料及能耗消耗一览表</w:t>
            </w:r>
          </w:p>
          <w:tbl>
            <w:tblPr>
              <w:tblStyle w:val="18"/>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267"/>
              <w:gridCol w:w="2266"/>
              <w:gridCol w:w="2268"/>
              <w:gridCol w:w="226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名称</w:t>
                  </w:r>
                </w:p>
              </w:tc>
              <w:tc>
                <w:tcPr>
                  <w:tcW w:w="1249"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年消耗量</w:t>
                  </w:r>
                </w:p>
              </w:tc>
              <w:tc>
                <w:tcPr>
                  <w:tcW w:w="1250"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单位</w:t>
                  </w:r>
                </w:p>
              </w:tc>
              <w:tc>
                <w:tcPr>
                  <w:tcW w:w="1251"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水</w:t>
                  </w:r>
                </w:p>
              </w:tc>
              <w:tc>
                <w:tcPr>
                  <w:tcW w:w="1249" w:type="pct"/>
                  <w:tcBorders>
                    <w:tl2br w:val="nil"/>
                    <w:tr2bl w:val="nil"/>
                  </w:tcBorders>
                  <w:vAlign w:val="center"/>
                </w:tcPr>
                <w:p>
                  <w:pPr>
                    <w:pStyle w:val="2"/>
                    <w:spacing w:after="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6822.24</w:t>
                  </w:r>
                </w:p>
              </w:tc>
              <w:tc>
                <w:tcPr>
                  <w:tcW w:w="125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/a</w:t>
                  </w:r>
                </w:p>
              </w:tc>
              <w:tc>
                <w:tcPr>
                  <w:tcW w:w="1251"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自来水公司</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电</w:t>
                  </w:r>
                </w:p>
              </w:tc>
              <w:tc>
                <w:tcPr>
                  <w:tcW w:w="1249"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60000</w:t>
                  </w:r>
                </w:p>
              </w:tc>
              <w:tc>
                <w:tcPr>
                  <w:tcW w:w="125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度</w:t>
                  </w:r>
                </w:p>
              </w:tc>
              <w:tc>
                <w:tcPr>
                  <w:tcW w:w="1251"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当地电网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天然</w:t>
                  </w:r>
                  <w:r>
                    <w:rPr>
                      <w:rFonts w:ascii="Times New Roman" w:hAnsi="Times New Roman" w:cs="Times New Roman"/>
                      <w:color w:val="auto"/>
                      <w:sz w:val="21"/>
                      <w:szCs w:val="21"/>
                    </w:rPr>
                    <w:t>气</w:t>
                  </w:r>
                </w:p>
              </w:tc>
              <w:tc>
                <w:tcPr>
                  <w:tcW w:w="1249"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149.87</w:t>
                  </w:r>
                </w:p>
              </w:tc>
              <w:tc>
                <w:tcPr>
                  <w:tcW w:w="125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万</w:t>
                  </w:r>
                  <w:r>
                    <w:rPr>
                      <w:rFonts w:ascii="Times New Roman" w:hAnsi="Times New Roman" w:cs="Times New Roman"/>
                      <w:color w:val="auto"/>
                      <w:sz w:val="21"/>
                      <w:szCs w:val="21"/>
                    </w:rPr>
                    <w:t>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/a</w:t>
                  </w:r>
                </w:p>
              </w:tc>
              <w:tc>
                <w:tcPr>
                  <w:tcW w:w="1251"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管网供给</w:t>
                  </w:r>
                </w:p>
              </w:tc>
            </w:tr>
          </w:tbl>
          <w:p>
            <w:pPr>
              <w:pStyle w:val="5"/>
              <w:ind w:firstLine="562"/>
              <w:outlineLvl w:val="1"/>
              <w:rPr>
                <w:rFonts w:cs="Times New Roman"/>
                <w:color w:val="auto"/>
              </w:rPr>
            </w:pPr>
            <w:r>
              <w:rPr>
                <w:rFonts w:hint="eastAsia" w:cs="Times New Roman"/>
                <w:color w:val="auto"/>
                <w:lang w:val="en-US" w:eastAsia="zh-CN"/>
              </w:rPr>
              <w:t>8</w:t>
            </w:r>
            <w:r>
              <w:rPr>
                <w:rFonts w:cs="Times New Roman"/>
                <w:color w:val="auto"/>
              </w:rPr>
              <w:t>、项目劳动定员与运行时间</w:t>
            </w:r>
          </w:p>
          <w:p>
            <w:pPr>
              <w:pStyle w:val="2"/>
              <w:spacing w:after="0"/>
              <w:ind w:firstLine="480" w:firstLineChars="200"/>
              <w:rPr>
                <w:rFonts w:ascii="Times New Roman" w:hAnsi="Times New Roman" w:cs="Times New Roman"/>
                <w:color w:val="auto"/>
              </w:rPr>
            </w:pPr>
            <w:r>
              <w:rPr>
                <w:rFonts w:ascii="Times New Roman" w:hAnsi="Times New Roman" w:cs="Times New Roman"/>
                <w:color w:val="auto"/>
              </w:rPr>
              <w:t>本项目不新增劳动定员，锅炉年运行时间60天，两班制（</w:t>
            </w:r>
            <w:r>
              <w:rPr>
                <w:rFonts w:hint="eastAsia" w:ascii="Times New Roman" w:hAnsi="Times New Roman" w:cs="Times New Roman"/>
                <w:color w:val="auto"/>
              </w:rPr>
              <w:t>1</w:t>
            </w:r>
            <w:r>
              <w:rPr>
                <w:rFonts w:ascii="Times New Roman" w:hAnsi="Times New Roman" w:cs="Times New Roman"/>
                <w:color w:val="auto"/>
              </w:rPr>
              <w:t>2小时一班）。</w:t>
            </w:r>
          </w:p>
          <w:p>
            <w:pPr>
              <w:pStyle w:val="5"/>
              <w:ind w:firstLine="562"/>
              <w:outlineLvl w:val="1"/>
              <w:rPr>
                <w:rFonts w:cs="Times New Roman"/>
                <w:color w:val="auto"/>
              </w:rPr>
            </w:pPr>
            <w:r>
              <w:rPr>
                <w:rFonts w:hint="eastAsia" w:cs="Times New Roman"/>
                <w:color w:val="auto"/>
                <w:lang w:val="en-US" w:eastAsia="zh-CN"/>
              </w:rPr>
              <w:t>9</w:t>
            </w:r>
            <w:r>
              <w:rPr>
                <w:rFonts w:cs="Times New Roman"/>
                <w:color w:val="auto"/>
              </w:rPr>
              <w:t>、产业政策符合性分析</w:t>
            </w:r>
          </w:p>
          <w:p>
            <w:pPr>
              <w:pStyle w:val="2"/>
              <w:spacing w:after="0"/>
              <w:ind w:firstLine="480" w:firstLineChars="200"/>
              <w:rPr>
                <w:rFonts w:ascii="Times New Roman" w:hAnsi="Times New Roman" w:cs="Times New Roman"/>
                <w:color w:val="auto"/>
              </w:rPr>
            </w:pPr>
            <w:r>
              <w:rPr>
                <w:rFonts w:ascii="Times New Roman" w:hAnsi="Times New Roman" w:cs="Times New Roman"/>
                <w:color w:val="auto"/>
              </w:rPr>
              <w:t>对照《产业结构调整指导目录(201</w:t>
            </w:r>
            <w:r>
              <w:rPr>
                <w:rFonts w:hint="eastAsia" w:ascii="Times New Roman" w:hAnsi="Times New Roman" w:cs="Times New Roman"/>
                <w:color w:val="auto"/>
              </w:rPr>
              <w:t>9</w:t>
            </w:r>
            <w:r>
              <w:rPr>
                <w:rFonts w:ascii="Times New Roman" w:hAnsi="Times New Roman" w:cs="Times New Roman"/>
                <w:color w:val="auto"/>
              </w:rPr>
              <w:t>年本)》可知，本项目不属于淘汰、限制类。根据《部分工业行业淘汰落后生产工艺装备和产品指导目录（201</w:t>
            </w:r>
            <w:r>
              <w:rPr>
                <w:rFonts w:hint="eastAsia" w:ascii="Times New Roman" w:hAnsi="Times New Roman" w:cs="Times New Roman"/>
                <w:color w:val="auto"/>
              </w:rPr>
              <w:t>6</w:t>
            </w:r>
            <w:r>
              <w:rPr>
                <w:rFonts w:ascii="Times New Roman" w:hAnsi="Times New Roman" w:cs="Times New Roman"/>
                <w:color w:val="auto"/>
              </w:rPr>
              <w:t>年本）》，本项目使用的原材料、生产设备等，均不属于《部分工业行业淘汰落后生产工艺装备和产品指导目录（201</w:t>
            </w:r>
            <w:r>
              <w:rPr>
                <w:rFonts w:hint="eastAsia" w:ascii="Times New Roman" w:hAnsi="Times New Roman" w:cs="Times New Roman"/>
                <w:color w:val="auto"/>
              </w:rPr>
              <w:t>6</w:t>
            </w:r>
            <w:r>
              <w:rPr>
                <w:rFonts w:ascii="Times New Roman" w:hAnsi="Times New Roman" w:cs="Times New Roman"/>
                <w:color w:val="auto"/>
              </w:rPr>
              <w:t>年本）》中的淘汰类，因此，本项目的建设符合国家产业政策。</w:t>
            </w:r>
          </w:p>
          <w:p>
            <w:pPr>
              <w:pStyle w:val="5"/>
              <w:ind w:firstLine="562"/>
              <w:outlineLvl w:val="1"/>
              <w:rPr>
                <w:color w:val="auto"/>
              </w:rPr>
            </w:pPr>
            <w:r>
              <w:rPr>
                <w:rFonts w:hint="eastAsia"/>
                <w:color w:val="auto"/>
                <w:lang w:val="en-US" w:eastAsia="zh-CN"/>
              </w:rPr>
              <w:t>10</w:t>
            </w:r>
            <w:r>
              <w:rPr>
                <w:rFonts w:hint="eastAsia"/>
                <w:color w:val="auto"/>
              </w:rPr>
              <w:t>、</w:t>
            </w:r>
            <w:r>
              <w:rPr>
                <w:color w:val="auto"/>
              </w:rPr>
              <w:t>选址合理性分析</w:t>
            </w:r>
          </w:p>
          <w:p>
            <w:pPr>
              <w:pStyle w:val="2"/>
              <w:spacing w:after="0"/>
              <w:ind w:firstLine="480" w:firstLineChars="200"/>
              <w:rPr>
                <w:rFonts w:ascii="Times New Roman" w:hAnsi="Times New Roman" w:cs="Times New Roman"/>
                <w:color w:val="auto"/>
                <w:lang w:val="en-GB"/>
              </w:rPr>
            </w:pPr>
            <w:r>
              <w:rPr>
                <w:rFonts w:ascii="Times New Roman" w:hAnsi="Times New Roman" w:cs="Times New Roman"/>
                <w:color w:val="auto"/>
                <w:lang w:val="en-GB"/>
              </w:rPr>
              <w:t>项目位于岳阳市王家畈路以南、八字门路以东地块内，</w:t>
            </w:r>
            <w:r>
              <w:rPr>
                <w:rFonts w:hint="eastAsia" w:ascii="Times New Roman" w:hAnsi="Times New Roman" w:cs="Times New Roman"/>
                <w:color w:val="auto"/>
                <w:lang w:val="en-GB"/>
              </w:rPr>
              <w:t>中心</w:t>
            </w:r>
            <w:r>
              <w:rPr>
                <w:rFonts w:ascii="Times New Roman" w:hAnsi="Times New Roman" w:cs="Times New Roman"/>
                <w:color w:val="auto"/>
              </w:rPr>
              <w:t>地理</w:t>
            </w:r>
            <w:r>
              <w:rPr>
                <w:rFonts w:hint="eastAsia" w:ascii="Times New Roman" w:hAnsi="Times New Roman" w:cs="Times New Roman"/>
                <w:color w:val="auto"/>
              </w:rPr>
              <w:t xml:space="preserve">坐标为东经 </w:t>
            </w:r>
            <w:r>
              <w:rPr>
                <w:rFonts w:ascii="Times New Roman" w:hAnsi="Times New Roman" w:cs="Times New Roman"/>
                <w:color w:val="auto"/>
              </w:rPr>
              <w:t>113 ° 9 ' 22.97̋</w:t>
            </w:r>
            <w:r>
              <w:rPr>
                <w:rFonts w:hint="eastAsia" w:ascii="Times New Roman" w:hAnsi="Times New Roman" w:cs="Times New Roman"/>
                <w:color w:val="auto"/>
              </w:rPr>
              <w:t>，北纬 29°22 '45.97</w:t>
            </w:r>
            <w:r>
              <w:rPr>
                <w:rFonts w:ascii="Times New Roman" w:hAnsi="Times New Roman" w:cs="Times New Roman"/>
                <w:color w:val="auto"/>
                <w:lang w:val="en-GB"/>
              </w:rPr>
              <w:t>，在现有厂区锅炉房内新增</w:t>
            </w:r>
            <w:r>
              <w:rPr>
                <w:rFonts w:hint="eastAsia" w:ascii="Times New Roman" w:hAnsi="Times New Roman" w:cs="Times New Roman"/>
                <w:color w:val="auto"/>
                <w:lang w:val="en-GB"/>
              </w:rPr>
              <w:t>1</w:t>
            </w:r>
            <w:r>
              <w:rPr>
                <w:rFonts w:ascii="Times New Roman" w:hAnsi="Times New Roman" w:cs="Times New Roman"/>
                <w:color w:val="auto"/>
                <w:lang w:val="en-GB"/>
              </w:rPr>
              <w:t>台</w:t>
            </w:r>
            <w:r>
              <w:rPr>
                <w:rFonts w:hint="eastAsia" w:ascii="Times New Roman" w:hAnsi="Times New Roman" w:cs="Times New Roman"/>
                <w:color w:val="auto"/>
                <w:lang w:val="en-GB"/>
              </w:rPr>
              <w:t>1</w:t>
            </w:r>
            <w:r>
              <w:rPr>
                <w:rFonts w:ascii="Times New Roman" w:hAnsi="Times New Roman" w:cs="Times New Roman"/>
                <w:color w:val="auto"/>
                <w:lang w:val="en-GB"/>
              </w:rPr>
              <w:t>5t/h天然气锅炉和</w:t>
            </w:r>
            <w:r>
              <w:rPr>
                <w:rFonts w:hint="eastAsia" w:ascii="Times New Roman" w:hAnsi="Times New Roman" w:cs="Times New Roman"/>
                <w:color w:val="auto"/>
                <w:lang w:val="en-GB"/>
              </w:rPr>
              <w:t>1</w:t>
            </w:r>
            <w:r>
              <w:rPr>
                <w:rFonts w:ascii="Times New Roman" w:hAnsi="Times New Roman" w:cs="Times New Roman"/>
                <w:color w:val="auto"/>
                <w:lang w:val="en-GB"/>
              </w:rPr>
              <w:t>根</w:t>
            </w:r>
            <w:r>
              <w:rPr>
                <w:rFonts w:hint="eastAsia" w:ascii="Times New Roman" w:hAnsi="Times New Roman" w:cs="Times New Roman"/>
                <w:color w:val="auto"/>
                <w:lang w:val="en-GB"/>
              </w:rPr>
              <w:t>2</w:t>
            </w:r>
            <w:r>
              <w:rPr>
                <w:rFonts w:hint="eastAsia" w:ascii="Times New Roman" w:hAnsi="Times New Roman" w:cs="Times New Roman"/>
                <w:color w:val="auto"/>
                <w:lang w:val="en-US" w:eastAsia="zh-CN"/>
              </w:rPr>
              <w:t>3</w:t>
            </w:r>
            <w:r>
              <w:rPr>
                <w:rFonts w:ascii="Times New Roman" w:hAnsi="Times New Roman" w:cs="Times New Roman"/>
                <w:color w:val="auto"/>
                <w:lang w:val="en-GB"/>
              </w:rPr>
              <w:t>m烟囱，本项目不需新增用地。项目所在地不涉及自然保护区、风景名胜区等敏感区域，不占用基本农田，符合环境功能区划要求，项目采取相应的治理措施后，污染物实现达标排放，对外界环境影响较小。环评认为项目选址是可行的。</w:t>
            </w:r>
          </w:p>
          <w:p>
            <w:pPr>
              <w:pStyle w:val="5"/>
              <w:ind w:firstLine="562"/>
              <w:outlineLvl w:val="1"/>
              <w:rPr>
                <w:color w:val="auto"/>
              </w:rPr>
            </w:pPr>
            <w:r>
              <w:rPr>
                <w:rFonts w:hint="eastAsia"/>
                <w:color w:val="auto"/>
              </w:rPr>
              <w:t>1</w:t>
            </w:r>
            <w:r>
              <w:rPr>
                <w:rFonts w:hint="eastAsia"/>
                <w:color w:val="auto"/>
                <w:lang w:val="en-US" w:eastAsia="zh-CN"/>
              </w:rPr>
              <w:t>1</w:t>
            </w:r>
            <w:r>
              <w:rPr>
                <w:rFonts w:hint="eastAsia"/>
                <w:color w:val="auto"/>
              </w:rPr>
              <w:t>、</w:t>
            </w:r>
            <w:r>
              <w:rPr>
                <w:color w:val="auto"/>
              </w:rPr>
              <w:t>“三线一单”符合性分析</w:t>
            </w:r>
          </w:p>
          <w:p>
            <w:pPr>
              <w:pStyle w:val="2"/>
              <w:spacing w:after="0"/>
              <w:ind w:firstLine="480" w:firstLineChars="200"/>
              <w:rPr>
                <w:rFonts w:ascii="Times New Roman" w:hAnsi="Times New Roman" w:cs="Times New Roman"/>
                <w:color w:val="auto"/>
                <w:lang w:val="en-GB"/>
              </w:rPr>
            </w:pPr>
            <w:r>
              <w:rPr>
                <w:rFonts w:ascii="Times New Roman" w:hAnsi="Times New Roman" w:cs="Times New Roman"/>
                <w:color w:val="auto"/>
              </w:rPr>
              <w:t>该项目</w:t>
            </w:r>
            <w:r>
              <w:rPr>
                <w:rFonts w:hint="eastAsia" w:ascii="Times New Roman" w:hAnsi="Times New Roman" w:cs="Times New Roman"/>
                <w:color w:val="auto"/>
              </w:rPr>
              <w:t>为新增1台15t/h天然气</w:t>
            </w:r>
            <w:r>
              <w:rPr>
                <w:rFonts w:ascii="Times New Roman" w:hAnsi="Times New Roman" w:cs="Times New Roman"/>
                <w:color w:val="auto"/>
              </w:rPr>
              <w:t>锅炉项目，</w:t>
            </w:r>
            <w:r>
              <w:rPr>
                <w:rFonts w:ascii="Times New Roman" w:hAnsi="Times New Roman" w:cs="Times New Roman"/>
                <w:color w:val="auto"/>
                <w:lang w:val="en-GB"/>
              </w:rPr>
              <w:t>营运过程中不可避免会消耗一定量的电源和资源，项目主要能源为天然气，</w:t>
            </w:r>
            <w:r>
              <w:rPr>
                <w:rFonts w:hint="eastAsia" w:ascii="Times New Roman" w:hAnsi="Times New Roman" w:cs="Times New Roman"/>
                <w:color w:val="auto"/>
                <w:lang w:val="en-GB"/>
              </w:rPr>
              <w:t>用气量</w:t>
            </w:r>
            <w:r>
              <w:rPr>
                <w:rFonts w:hint="eastAsia" w:ascii="Times New Roman" w:hAnsi="Times New Roman" w:cs="Times New Roman"/>
                <w:color w:val="auto"/>
                <w:lang w:val="en-GB" w:eastAsia="zh-CN"/>
              </w:rPr>
              <w:t>少，</w:t>
            </w:r>
            <w:r>
              <w:rPr>
                <w:rFonts w:ascii="Times New Roman" w:hAnsi="Times New Roman" w:cs="Times New Roman"/>
                <w:color w:val="auto"/>
                <w:lang w:val="en-GB"/>
              </w:rPr>
              <w:t>符合《关于以改善环境质量为核心加强环境影响评价管理的通知》（环环评[2016]150号）中的资源利用上线要求。目前项目区暂未制定环境准入负面清单，项目基本符合要求。</w:t>
            </w:r>
          </w:p>
          <w:p>
            <w:pPr>
              <w:pStyle w:val="2"/>
              <w:spacing w:after="0"/>
              <w:ind w:firstLine="480" w:firstLineChars="200"/>
              <w:rPr>
                <w:rFonts w:ascii="Times New Roman" w:hAnsi="Times New Roman" w:cs="Times New Roman"/>
                <w:color w:val="auto"/>
                <w:lang w:val="en-GB"/>
              </w:rPr>
            </w:pPr>
            <w:r>
              <w:rPr>
                <w:rFonts w:ascii="Times New Roman" w:hAnsi="Times New Roman" w:cs="Times New Roman"/>
                <w:color w:val="auto"/>
                <w:lang w:val="en-GB"/>
              </w:rPr>
              <w:t>综上所述，本项目符合《关于以改善环境质量为核心加强环境影响评价管理的通知》（环环评[2016]</w:t>
            </w:r>
            <w:r>
              <w:rPr>
                <w:rFonts w:ascii="Times New Roman" w:hAnsi="Times New Roman" w:cs="Times New Roman"/>
                <w:color w:val="auto"/>
              </w:rPr>
              <w:t>150</w:t>
            </w:r>
            <w:r>
              <w:rPr>
                <w:rFonts w:ascii="Times New Roman" w:hAnsi="Times New Roman" w:cs="Times New Roman"/>
                <w:color w:val="auto"/>
                <w:lang w:val="en-GB"/>
              </w:rPr>
              <w:t>号）中“三线一单”的相关要求。</w:t>
            </w:r>
          </w:p>
          <w:p>
            <w:pPr>
              <w:spacing w:line="360" w:lineRule="auto"/>
              <w:jc w:val="center"/>
              <w:rPr>
                <w:rFonts w:ascii="Times New Roman" w:hAnsi="Times New Roman" w:cs="Times New Roman"/>
                <w:b/>
                <w:bCs/>
                <w:color w:val="auto"/>
                <w:u w:val="single"/>
              </w:rPr>
            </w:pPr>
            <w:r>
              <w:rPr>
                <w:rFonts w:ascii="Times New Roman" w:hAnsi="Times New Roman" w:cs="Times New Roman"/>
                <w:b/>
                <w:bCs/>
                <w:color w:val="auto"/>
                <w:u w:val="single"/>
              </w:rPr>
              <w:t>表1-</w:t>
            </w:r>
            <w:r>
              <w:rPr>
                <w:rFonts w:hint="eastAsia" w:ascii="Times New Roman" w:hAnsi="Times New Roman" w:cs="Times New Roman"/>
                <w:b/>
                <w:bCs/>
                <w:color w:val="auto"/>
                <w:u w:val="single"/>
              </w:rPr>
              <w:t>5</w:t>
            </w:r>
            <w:r>
              <w:rPr>
                <w:rFonts w:ascii="Times New Roman" w:hAnsi="Times New Roman" w:cs="Times New Roman"/>
                <w:b/>
                <w:bCs/>
                <w:color w:val="auto"/>
                <w:u w:val="single"/>
              </w:rPr>
              <w:t xml:space="preserve">  “三线一单”符合性分析</w:t>
            </w:r>
          </w:p>
          <w:tbl>
            <w:tblPr>
              <w:tblStyle w:val="1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18"/>
              <w:gridCol w:w="754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37"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u w:val="single"/>
                    </w:rPr>
                  </w:pPr>
                  <w:r>
                    <w:rPr>
                      <w:rFonts w:ascii="Times New Roman" w:hAnsi="Times New Roman" w:cs="Times New Roman"/>
                      <w:b/>
                      <w:bCs/>
                      <w:color w:val="auto"/>
                      <w:sz w:val="21"/>
                      <w:szCs w:val="21"/>
                      <w:u w:val="single"/>
                    </w:rPr>
                    <w:t>内容</w:t>
                  </w:r>
                </w:p>
              </w:tc>
              <w:tc>
                <w:tcPr>
                  <w:tcW w:w="4162"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u w:val="single"/>
                    </w:rPr>
                  </w:pPr>
                  <w:r>
                    <w:rPr>
                      <w:rFonts w:ascii="Times New Roman" w:hAnsi="Times New Roman" w:cs="Times New Roman"/>
                      <w:b/>
                      <w:bCs/>
                      <w:color w:val="auto"/>
                      <w:sz w:val="21"/>
                      <w:szCs w:val="21"/>
                      <w:u w:val="single"/>
                    </w:rPr>
                    <w:t>符合性分析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837" w:type="pct"/>
                  <w:tcBorders>
                    <w:top w:val="single" w:color="auto" w:sz="12" w:space="0"/>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生态保护红线</w:t>
                  </w:r>
                </w:p>
              </w:tc>
              <w:tc>
                <w:tcPr>
                  <w:tcW w:w="4162" w:type="pct"/>
                  <w:tcBorders>
                    <w:top w:val="single" w:color="auto" w:sz="12" w:space="0"/>
                  </w:tcBorders>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lang w:eastAsia="zh-CN"/>
                    </w:rPr>
                    <w:t>本</w:t>
                  </w:r>
                  <w:r>
                    <w:rPr>
                      <w:rFonts w:ascii="Times New Roman" w:hAnsi="Times New Roman" w:cs="Times New Roman"/>
                      <w:color w:val="auto"/>
                      <w:sz w:val="21"/>
                      <w:szCs w:val="21"/>
                      <w:u w:val="single"/>
                    </w:rPr>
                    <w:t>项目位于湖南省岳阳市王家畈路以南、八字门路以东地块内，不属于</w:t>
                  </w:r>
                  <w:r>
                    <w:rPr>
                      <w:rFonts w:hint="eastAsia" w:ascii="Times New Roman" w:hAnsi="Times New Roman" w:cs="Times New Roman"/>
                      <w:color w:val="auto"/>
                      <w:sz w:val="21"/>
                      <w:szCs w:val="21"/>
                      <w:u w:val="single"/>
                    </w:rPr>
                    <w:t>岳阳市</w:t>
                  </w:r>
                  <w:r>
                    <w:rPr>
                      <w:rFonts w:ascii="Times New Roman" w:hAnsi="Times New Roman" w:cs="Times New Roman"/>
                      <w:color w:val="auto"/>
                      <w:sz w:val="21"/>
                      <w:szCs w:val="21"/>
                      <w:u w:val="single"/>
                    </w:rPr>
                    <w:t>生态保护红线范围，具体位置见附图，符合生态保护红线要求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37" w:type="pct"/>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资源利用上线</w:t>
                  </w:r>
                </w:p>
              </w:tc>
              <w:tc>
                <w:tcPr>
                  <w:tcW w:w="4162" w:type="pct"/>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highlight w:val="none"/>
                      <w:u w:val="single"/>
                    </w:rPr>
                    <w:t>本项目营运过程中不可避免会消耗一定量的电源和资源，</w:t>
                  </w:r>
                  <w:r>
                    <w:rPr>
                      <w:rFonts w:hint="eastAsia" w:ascii="Times New Roman" w:hAnsi="Times New Roman" w:cs="Times New Roman"/>
                      <w:color w:val="auto"/>
                      <w:sz w:val="21"/>
                      <w:szCs w:val="21"/>
                      <w:highlight w:val="none"/>
                      <w:u w:val="single"/>
                    </w:rPr>
                    <w:t>项目所用资源主要为电能、水和</w:t>
                  </w:r>
                  <w:r>
                    <w:rPr>
                      <w:rFonts w:hint="eastAsia" w:ascii="Times New Roman" w:hAnsi="Times New Roman" w:cs="Times New Roman"/>
                      <w:color w:val="auto"/>
                      <w:sz w:val="21"/>
                      <w:szCs w:val="21"/>
                      <w:highlight w:val="none"/>
                      <w:u w:val="single"/>
                      <w:lang w:eastAsia="zh-CN"/>
                    </w:rPr>
                    <w:t>天然气</w:t>
                  </w:r>
                  <w:r>
                    <w:rPr>
                      <w:rFonts w:hint="eastAsia" w:ascii="Times New Roman" w:hAnsi="Times New Roman" w:cs="Times New Roman"/>
                      <w:color w:val="auto"/>
                      <w:sz w:val="21"/>
                      <w:szCs w:val="21"/>
                      <w:highlight w:val="none"/>
                      <w:u w:val="single"/>
                    </w:rPr>
                    <w:t>等</w:t>
                  </w:r>
                  <w:r>
                    <w:rPr>
                      <w:rFonts w:hint="eastAsia" w:ascii="Times New Roman" w:hAnsi="Times New Roman" w:cs="Times New Roman"/>
                      <w:color w:val="auto"/>
                      <w:sz w:val="21"/>
                      <w:szCs w:val="21"/>
                      <w:highlight w:val="none"/>
                      <w:u w:val="single"/>
                      <w:lang w:eastAsia="zh-CN"/>
                    </w:rPr>
                    <w:t>，</w:t>
                  </w:r>
                  <w:r>
                    <w:rPr>
                      <w:rFonts w:hint="eastAsia" w:ascii="Times New Roman" w:hAnsi="Times New Roman" w:cs="Times New Roman"/>
                      <w:color w:val="auto"/>
                      <w:sz w:val="21"/>
                      <w:szCs w:val="21"/>
                      <w:highlight w:val="none"/>
                      <w:u w:val="single"/>
                    </w:rPr>
                    <w:t>区域电能和水资源丰富</w:t>
                  </w:r>
                  <w:r>
                    <w:rPr>
                      <w:rFonts w:hint="eastAsia" w:ascii="Times New Roman" w:hAnsi="Times New Roman" w:cs="Times New Roman"/>
                      <w:color w:val="auto"/>
                      <w:sz w:val="21"/>
                      <w:szCs w:val="21"/>
                      <w:highlight w:val="none"/>
                      <w:u w:val="single"/>
                      <w:lang w:eastAsia="zh-CN"/>
                    </w:rPr>
                    <w:t>，天然气由岳阳华润天然气有限公司提供</w:t>
                  </w:r>
                  <w:r>
                    <w:rPr>
                      <w:rFonts w:hint="eastAsia" w:ascii="Times New Roman" w:hAnsi="Times New Roman" w:cs="Times New Roman"/>
                      <w:color w:val="auto"/>
                      <w:sz w:val="21"/>
                      <w:szCs w:val="21"/>
                      <w:highlight w:val="none"/>
                      <w:u w:val="single"/>
                    </w:rPr>
                    <w:t>，</w:t>
                  </w:r>
                  <w:r>
                    <w:rPr>
                      <w:rFonts w:hint="eastAsia" w:ascii="Times New Roman" w:hAnsi="Times New Roman" w:cs="Times New Roman"/>
                      <w:color w:val="auto"/>
                      <w:sz w:val="21"/>
                      <w:szCs w:val="21"/>
                      <w:highlight w:val="none"/>
                      <w:u w:val="single"/>
                      <w:lang w:eastAsia="zh-CN"/>
                    </w:rPr>
                    <w:t>项目利用</w:t>
                  </w:r>
                  <w:r>
                    <w:rPr>
                      <w:rFonts w:hint="eastAsia" w:ascii="Times New Roman" w:hAnsi="Times New Roman" w:cs="Times New Roman"/>
                      <w:color w:val="auto"/>
                      <w:sz w:val="21"/>
                      <w:szCs w:val="21"/>
                      <w:highlight w:val="none"/>
                      <w:u w:val="single"/>
                    </w:rPr>
                    <w:t>资源较少，污染物排放量小，因此，符合资源利用上线要求。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837" w:type="pct"/>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环境质量底线</w:t>
                  </w:r>
                </w:p>
              </w:tc>
              <w:tc>
                <w:tcPr>
                  <w:tcW w:w="4162" w:type="pct"/>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本项目附近地表水环境、声环境质量均能满足相应标准要求</w:t>
                  </w:r>
                  <w:r>
                    <w:rPr>
                      <w:rFonts w:hint="eastAsia" w:ascii="Times New Roman" w:hAnsi="Times New Roman" w:cs="Times New Roman"/>
                      <w:color w:val="auto"/>
                      <w:sz w:val="21"/>
                      <w:szCs w:val="21"/>
                      <w:u w:val="single"/>
                      <w:lang w:eastAsia="zh-CN"/>
                    </w:rPr>
                    <w:t>；</w:t>
                  </w:r>
                  <w:r>
                    <w:rPr>
                      <w:rFonts w:ascii="Times New Roman" w:hAnsi="Times New Roman" w:cs="Times New Roman"/>
                      <w:color w:val="auto"/>
                      <w:sz w:val="21"/>
                      <w:szCs w:val="21"/>
                      <w:u w:val="single"/>
                    </w:rPr>
                    <w:t>根据岳阳市人民政府公示的《岳阳市2018年度环境质量公报》</w:t>
                  </w:r>
                  <w:r>
                    <w:rPr>
                      <w:rFonts w:hint="eastAsia" w:ascii="Times New Roman" w:hAnsi="Times New Roman" w:cs="Times New Roman"/>
                      <w:color w:val="auto"/>
                      <w:sz w:val="21"/>
                      <w:szCs w:val="21"/>
                      <w:u w:val="single"/>
                    </w:rPr>
                    <w:t>和</w:t>
                  </w:r>
                  <w:r>
                    <w:rPr>
                      <w:rFonts w:ascii="Times New Roman" w:hAnsi="Times New Roman" w:cs="Times New Roman"/>
                      <w:color w:val="auto"/>
                      <w:sz w:val="21"/>
                      <w:szCs w:val="21"/>
                      <w:u w:val="single"/>
                    </w:rPr>
                    <w:t>《岳阳市201</w:t>
                  </w:r>
                  <w:r>
                    <w:rPr>
                      <w:rFonts w:hint="eastAsia" w:ascii="Times New Roman" w:hAnsi="Times New Roman" w:cs="Times New Roman"/>
                      <w:color w:val="auto"/>
                      <w:sz w:val="21"/>
                      <w:szCs w:val="21"/>
                      <w:u w:val="single"/>
                    </w:rPr>
                    <w:t>9</w:t>
                  </w:r>
                  <w:r>
                    <w:rPr>
                      <w:rFonts w:ascii="Times New Roman" w:hAnsi="Times New Roman" w:cs="Times New Roman"/>
                      <w:color w:val="auto"/>
                      <w:sz w:val="21"/>
                      <w:szCs w:val="21"/>
                      <w:u w:val="single"/>
                    </w:rPr>
                    <w:t>年度</w:t>
                  </w:r>
                  <w:r>
                    <w:rPr>
                      <w:rFonts w:hint="eastAsia" w:ascii="Times New Roman" w:hAnsi="Times New Roman" w:cs="Times New Roman"/>
                      <w:color w:val="auto"/>
                      <w:sz w:val="21"/>
                      <w:szCs w:val="21"/>
                      <w:u w:val="single"/>
                    </w:rPr>
                    <w:t>生态</w:t>
                  </w:r>
                  <w:r>
                    <w:rPr>
                      <w:rFonts w:ascii="Times New Roman" w:hAnsi="Times New Roman" w:cs="Times New Roman"/>
                      <w:color w:val="auto"/>
                      <w:sz w:val="21"/>
                      <w:szCs w:val="21"/>
                      <w:u w:val="single"/>
                    </w:rPr>
                    <w:t>环境质量公报》</w:t>
                  </w:r>
                  <w:r>
                    <w:rPr>
                      <w:rFonts w:hint="eastAsia" w:ascii="Times New Roman" w:hAnsi="Times New Roman" w:cs="Times New Roman"/>
                      <w:color w:val="auto"/>
                      <w:sz w:val="21"/>
                      <w:szCs w:val="21"/>
                      <w:u w:val="single"/>
                      <w:lang w:eastAsia="zh-CN"/>
                    </w:rPr>
                    <w:t>可知，项目所在区域环境空气质量为不达标区域；在《湖南省污染防治攻坚战三年行动计划（2018-2020年）》的推行下，目前岳阳市环境空气质量正持续向好改善；</w:t>
                  </w:r>
                  <w:r>
                    <w:rPr>
                      <w:rFonts w:ascii="Times New Roman" w:hAnsi="Times New Roman" w:cs="Times New Roman"/>
                      <w:color w:val="auto"/>
                      <w:sz w:val="21"/>
                      <w:szCs w:val="21"/>
                      <w:u w:val="single"/>
                    </w:rPr>
                    <w:t>项目废气</w:t>
                  </w:r>
                  <w:r>
                    <w:rPr>
                      <w:rFonts w:hint="eastAsia" w:ascii="Times New Roman" w:hAnsi="Times New Roman" w:cs="Times New Roman"/>
                      <w:color w:val="auto"/>
                      <w:sz w:val="21"/>
                      <w:szCs w:val="21"/>
                      <w:u w:val="single"/>
                      <w:lang w:eastAsia="zh-CN"/>
                    </w:rPr>
                    <w:t>、废水、噪声</w:t>
                  </w:r>
                  <w:r>
                    <w:rPr>
                      <w:rFonts w:ascii="Times New Roman" w:hAnsi="Times New Roman" w:cs="Times New Roman"/>
                      <w:color w:val="auto"/>
                      <w:sz w:val="21"/>
                      <w:szCs w:val="21"/>
                      <w:u w:val="single"/>
                    </w:rPr>
                    <w:t>经相应处理措施处理后对周围环境很小。符合环境质量底线要求</w:t>
                  </w:r>
                  <w:r>
                    <w:rPr>
                      <w:rFonts w:hint="eastAsia" w:ascii="Times New Roman" w:hAnsi="Times New Roman" w:cs="Times New Roman"/>
                      <w:color w:val="auto"/>
                      <w:sz w:val="21"/>
                      <w:szCs w:val="21"/>
                      <w:u w:val="single"/>
                      <w:lang w:eastAsia="zh-CN"/>
                    </w:rPr>
                    <w:t>。</w:t>
                  </w:r>
                  <w:r>
                    <w:rPr>
                      <w:rFonts w:hint="eastAsia" w:ascii="Times New Roman" w:hAnsi="Times New Roman" w:cs="Times New Roman"/>
                      <w:color w:val="auto"/>
                      <w:sz w:val="21"/>
                      <w:szCs w:val="21"/>
                      <w:highlight w:val="none"/>
                      <w:u w:val="single"/>
                    </w:rPr>
                    <w:t>项目经本评价提出的污染防治措施处理后均能达标排放，不会导致当地的区域环境质量下降，区域环境质量基本能维持现状，因此，基本符合环境质量底线要求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837" w:type="pct"/>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负面清单</w:t>
                  </w:r>
                </w:p>
              </w:tc>
              <w:tc>
                <w:tcPr>
                  <w:tcW w:w="4162" w:type="pct"/>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目前项目区暂未制定环境准入负面清单，项目符合要求。</w:t>
                  </w:r>
                </w:p>
              </w:tc>
            </w:tr>
          </w:tbl>
          <w:p>
            <w:pPr>
              <w:pStyle w:val="5"/>
              <w:ind w:firstLine="562"/>
              <w:outlineLvl w:val="1"/>
              <w:rPr>
                <w:rFonts w:cs="Times New Roman"/>
                <w:color w:val="auto"/>
              </w:rPr>
            </w:pPr>
            <w:r>
              <w:rPr>
                <w:rFonts w:cs="Times New Roman"/>
                <w:color w:val="auto"/>
              </w:rPr>
              <w:t>1</w:t>
            </w:r>
            <w:r>
              <w:rPr>
                <w:rFonts w:hint="eastAsia" w:cs="Times New Roman"/>
                <w:color w:val="auto"/>
                <w:lang w:val="en-US" w:eastAsia="zh-CN"/>
              </w:rPr>
              <w:t>2</w:t>
            </w:r>
            <w:r>
              <w:rPr>
                <w:rFonts w:cs="Times New Roman"/>
                <w:color w:val="auto"/>
              </w:rPr>
              <w:t>、项目总投资及环保投资</w:t>
            </w:r>
          </w:p>
          <w:p>
            <w:pPr>
              <w:pStyle w:val="2"/>
              <w:spacing w:after="0"/>
              <w:ind w:firstLine="480" w:firstLineChars="200"/>
              <w:rPr>
                <w:rFonts w:ascii="Times New Roman" w:hAnsi="Times New Roman" w:cs="Times New Roman"/>
                <w:color w:val="auto"/>
              </w:rPr>
            </w:pPr>
            <w:r>
              <w:rPr>
                <w:rFonts w:ascii="Times New Roman" w:hAnsi="Times New Roman" w:cs="Times New Roman"/>
                <w:color w:val="auto"/>
              </w:rPr>
              <w:t>本项目总投资</w:t>
            </w:r>
            <w:r>
              <w:rPr>
                <w:rFonts w:hint="eastAsia" w:ascii="Times New Roman" w:hAnsi="Times New Roman" w:cs="Times New Roman"/>
                <w:color w:val="auto"/>
                <w:lang w:val="en-US" w:eastAsia="zh-CN"/>
              </w:rPr>
              <w:t>298</w:t>
            </w:r>
            <w:r>
              <w:rPr>
                <w:rFonts w:ascii="Times New Roman" w:hAnsi="Times New Roman" w:cs="Times New Roman"/>
                <w:color w:val="auto"/>
              </w:rPr>
              <w:t>万元，其中环保投资共</w:t>
            </w:r>
            <w:r>
              <w:rPr>
                <w:rFonts w:hint="eastAsia" w:ascii="Times New Roman" w:hAnsi="Times New Roman" w:cs="Times New Roman"/>
                <w:color w:val="auto"/>
                <w:lang w:val="en-US" w:eastAsia="zh-CN"/>
              </w:rPr>
              <w:t>35.82</w:t>
            </w:r>
            <w:r>
              <w:rPr>
                <w:rFonts w:ascii="Times New Roman" w:hAnsi="Times New Roman" w:cs="Times New Roman"/>
                <w:color w:val="auto"/>
              </w:rPr>
              <w:t>万元，占总投资的</w:t>
            </w:r>
            <w:r>
              <w:rPr>
                <w:rFonts w:hint="eastAsia" w:ascii="Times New Roman" w:hAnsi="Times New Roman" w:cs="Times New Roman"/>
                <w:color w:val="auto"/>
                <w:lang w:val="en-US" w:eastAsia="zh-CN"/>
              </w:rPr>
              <w:t>12.02</w:t>
            </w:r>
            <w:r>
              <w:rPr>
                <w:rFonts w:ascii="Times New Roman" w:hAnsi="Times New Roman" w:cs="Times New Roman"/>
                <w:color w:val="auto"/>
              </w:rPr>
              <w:t>%；本项目环保措施及环保投资估算见表7-1</w:t>
            </w:r>
            <w:r>
              <w:rPr>
                <w:rFonts w:hint="eastAsia" w:ascii="Times New Roman" w:hAnsi="Times New Roman" w:cs="Times New Roman"/>
                <w:color w:val="auto"/>
                <w:lang w:val="en-US" w:eastAsia="zh-CN"/>
              </w:rPr>
              <w:t>5</w:t>
            </w:r>
            <w:r>
              <w:rPr>
                <w:rFonts w:ascii="Times New Roman" w:hAnsi="Times New Roman" w:cs="Times New Roman"/>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7"/>
            <w:tcBorders>
              <w:tl2br w:val="nil"/>
              <w:tr2bl w:val="nil"/>
            </w:tcBorders>
            <w:vAlign w:val="center"/>
          </w:tcPr>
          <w:p>
            <w:pPr>
              <w:rPr>
                <w:rFonts w:ascii="Times New Roman" w:hAnsi="Times New Roman" w:cs="Times New Roman"/>
                <w:b/>
                <w:bCs/>
                <w:color w:val="auto"/>
              </w:rPr>
            </w:pPr>
            <w:r>
              <w:rPr>
                <w:rFonts w:ascii="Times New Roman" w:hAnsi="Times New Roman" w:cs="Times New Roman"/>
                <w:b/>
                <w:bCs/>
                <w:color w:val="auto"/>
              </w:rPr>
              <w:t>与项目有关的原有污染情况及主要环境问题</w:t>
            </w:r>
          </w:p>
          <w:p>
            <w:pPr>
              <w:ind w:firstLine="482" w:firstLineChars="200"/>
              <w:rPr>
                <w:rFonts w:ascii="Times New Roman" w:hAnsi="Times New Roman" w:cs="Times New Roman"/>
                <w:b/>
                <w:bCs/>
                <w:color w:val="auto"/>
              </w:rPr>
            </w:pPr>
            <w:r>
              <w:rPr>
                <w:rFonts w:ascii="Times New Roman" w:hAnsi="Times New Roman" w:cs="Times New Roman"/>
                <w:b/>
                <w:bCs/>
                <w:color w:val="auto"/>
              </w:rPr>
              <w:t>1、原有项目概况</w:t>
            </w:r>
          </w:p>
          <w:p>
            <w:pPr>
              <w:ind w:firstLine="480" w:firstLineChars="200"/>
              <w:rPr>
                <w:rFonts w:ascii="Times New Roman" w:hAnsi="Times New Roman" w:cs="Times New Roman"/>
                <w:color w:val="auto"/>
              </w:rPr>
            </w:pPr>
            <w:r>
              <w:rPr>
                <w:rFonts w:ascii="Times New Roman" w:hAnsi="Times New Roman" w:cs="Times New Roman"/>
                <w:color w:val="auto"/>
              </w:rPr>
              <w:t>根据《年产4亿包白象方便面工程环境影响报告表》、《年产5亿包方便面调料包建设项目环境影响报告表》以及《燃煤锅炉改天然气锅炉项目环境影响报告表》报告内容，原有项目组成情况如下表1-6所示，主要生产设备如下表1-7所示，能源消耗情况如下表1-8所示。</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表1-6  企业现有项目组成一览表</w:t>
            </w:r>
          </w:p>
          <w:tbl>
            <w:tblPr>
              <w:tblStyle w:val="17"/>
              <w:tblW w:w="5000" w:type="pct"/>
              <w:tblInd w:w="15"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 w:type="dxa"/>
                <w:bottom w:w="0" w:type="dxa"/>
                <w:right w:w="10" w:type="dxa"/>
              </w:tblCellMar>
            </w:tblPr>
            <w:tblGrid>
              <w:gridCol w:w="706"/>
              <w:gridCol w:w="1361"/>
              <w:gridCol w:w="7003"/>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322" w:hRule="atLeast"/>
              </w:trPr>
              <w:tc>
                <w:tcPr>
                  <w:tcW w:w="389" w:type="pct"/>
                  <w:tcBorders>
                    <w:bottom w:val="single" w:color="auto" w:sz="12" w:space="0"/>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b/>
                      <w:color w:val="auto"/>
                      <w:kern w:val="0"/>
                      <w:sz w:val="21"/>
                      <w:szCs w:val="21"/>
                      <w:u w:val="single"/>
                    </w:rPr>
                    <w:t>类别</w:t>
                  </w:r>
                </w:p>
              </w:tc>
              <w:tc>
                <w:tcPr>
                  <w:tcW w:w="750" w:type="pct"/>
                  <w:tcBorders>
                    <w:bottom w:val="single" w:color="auto" w:sz="12" w:space="0"/>
                  </w:tcBorders>
                  <w:shd w:val="clear" w:color="auto" w:fill="auto"/>
                  <w:vAlign w:val="center"/>
                </w:tcPr>
                <w:p>
                  <w:pPr>
                    <w:autoSpaceDE w:val="0"/>
                    <w:autoSpaceDN w:val="0"/>
                    <w:spacing w:line="240" w:lineRule="auto"/>
                    <w:contextualSpacing/>
                    <w:jc w:val="center"/>
                    <w:rPr>
                      <w:rFonts w:ascii="Times New Roman" w:hAnsi="Times New Roman" w:cs="Times New Roman"/>
                      <w:b/>
                      <w:color w:val="auto"/>
                      <w:kern w:val="0"/>
                      <w:sz w:val="21"/>
                      <w:szCs w:val="21"/>
                      <w:u w:val="single"/>
                      <w:shd w:val="pct10" w:color="auto" w:fill="FFFFFF"/>
                    </w:rPr>
                  </w:pPr>
                  <w:r>
                    <w:rPr>
                      <w:rFonts w:ascii="Times New Roman" w:hAnsi="Times New Roman" w:cs="Times New Roman"/>
                      <w:b/>
                      <w:color w:val="auto"/>
                      <w:kern w:val="0"/>
                      <w:sz w:val="21"/>
                      <w:szCs w:val="21"/>
                      <w:u w:val="single"/>
                    </w:rPr>
                    <w:t>项目内容</w:t>
                  </w:r>
                </w:p>
              </w:tc>
              <w:tc>
                <w:tcPr>
                  <w:tcW w:w="3859" w:type="pct"/>
                  <w:tcBorders>
                    <w:bottom w:val="single" w:color="auto" w:sz="12" w:space="0"/>
                  </w:tcBorders>
                  <w:shd w:val="clear" w:color="auto" w:fill="auto"/>
                  <w:vAlign w:val="center"/>
                </w:tcPr>
                <w:p>
                  <w:pPr>
                    <w:autoSpaceDE w:val="0"/>
                    <w:autoSpaceDN w:val="0"/>
                    <w:spacing w:line="240" w:lineRule="auto"/>
                    <w:contextualSpacing/>
                    <w:jc w:val="center"/>
                    <w:rPr>
                      <w:rFonts w:ascii="Times New Roman" w:hAnsi="Times New Roman" w:cs="Times New Roman"/>
                      <w:b/>
                      <w:color w:val="auto"/>
                      <w:kern w:val="0"/>
                      <w:sz w:val="21"/>
                      <w:szCs w:val="21"/>
                      <w:u w:val="single"/>
                      <w:shd w:val="pct10" w:color="auto" w:fill="FFFFFF"/>
                    </w:rPr>
                  </w:pPr>
                  <w:r>
                    <w:rPr>
                      <w:rFonts w:ascii="Times New Roman" w:hAnsi="Times New Roman" w:cs="Times New Roman"/>
                      <w:b/>
                      <w:color w:val="auto"/>
                      <w:kern w:val="0"/>
                      <w:sz w:val="21"/>
                      <w:szCs w:val="21"/>
                      <w:u w:val="single"/>
                    </w:rPr>
                    <w:t>项目组成</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331" w:hRule="atLeast"/>
              </w:trPr>
              <w:tc>
                <w:tcPr>
                  <w:tcW w:w="389" w:type="pct"/>
                  <w:vMerge w:val="restart"/>
                  <w:tcBorders>
                    <w:top w:val="single" w:color="auto" w:sz="12" w:space="0"/>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生</w:t>
                  </w:r>
                </w:p>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产</w:t>
                  </w:r>
                </w:p>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工</w:t>
                  </w:r>
                </w:p>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程</w:t>
                  </w:r>
                </w:p>
              </w:tc>
              <w:tc>
                <w:tcPr>
                  <w:tcW w:w="750" w:type="pct"/>
                  <w:tcBorders>
                    <w:top w:val="single" w:color="auto" w:sz="12" w:space="0"/>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主车间</w:t>
                  </w:r>
                </w:p>
              </w:tc>
              <w:tc>
                <w:tcPr>
                  <w:tcW w:w="3859" w:type="pct"/>
                  <w:tcBorders>
                    <w:top w:val="single" w:color="auto" w:sz="12" w:space="0"/>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由制面车间（建筑面积18530.39m</w:t>
                  </w:r>
                  <w:r>
                    <w:rPr>
                      <w:rFonts w:ascii="Times New Roman" w:hAnsi="Times New Roman" w:cs="Times New Roman"/>
                      <w:color w:val="auto"/>
                      <w:kern w:val="0"/>
                      <w:sz w:val="21"/>
                      <w:szCs w:val="21"/>
                      <w:u w:val="single"/>
                      <w:vertAlign w:val="superscript"/>
                    </w:rPr>
                    <w:t>2</w:t>
                  </w:r>
                  <w:r>
                    <w:rPr>
                      <w:rFonts w:ascii="Times New Roman" w:hAnsi="Times New Roman" w:cs="Times New Roman"/>
                      <w:color w:val="auto"/>
                      <w:kern w:val="0"/>
                      <w:sz w:val="21"/>
                      <w:szCs w:val="21"/>
                      <w:u w:val="single"/>
                    </w:rPr>
                    <w:t>）、成品库（建筑面积6114.9m</w:t>
                  </w:r>
                  <w:r>
                    <w:rPr>
                      <w:rFonts w:ascii="Times New Roman" w:hAnsi="Times New Roman" w:cs="Times New Roman"/>
                      <w:color w:val="auto"/>
                      <w:kern w:val="0"/>
                      <w:sz w:val="21"/>
                      <w:szCs w:val="21"/>
                      <w:u w:val="single"/>
                      <w:vertAlign w:val="superscript"/>
                    </w:rPr>
                    <w:t>2</w:t>
                  </w:r>
                  <w:r>
                    <w:rPr>
                      <w:rFonts w:ascii="Times New Roman" w:hAnsi="Times New Roman" w:cs="Times New Roman"/>
                      <w:color w:val="auto"/>
                      <w:kern w:val="0"/>
                      <w:sz w:val="21"/>
                      <w:szCs w:val="21"/>
                      <w:u w:val="single"/>
                    </w:rPr>
                    <w:t>）、面粉库（1080m</w:t>
                  </w:r>
                  <w:r>
                    <w:rPr>
                      <w:rFonts w:ascii="Times New Roman" w:hAnsi="Times New Roman" w:cs="Times New Roman"/>
                      <w:color w:val="auto"/>
                      <w:kern w:val="0"/>
                      <w:sz w:val="21"/>
                      <w:szCs w:val="21"/>
                      <w:u w:val="single"/>
                      <w:vertAlign w:val="superscript"/>
                    </w:rPr>
                    <w:t>2</w:t>
                  </w:r>
                  <w:r>
                    <w:rPr>
                      <w:rFonts w:ascii="Times New Roman" w:hAnsi="Times New Roman" w:cs="Times New Roman"/>
                      <w:color w:val="auto"/>
                      <w:kern w:val="0"/>
                      <w:sz w:val="21"/>
                      <w:szCs w:val="21"/>
                      <w:u w:val="single"/>
                    </w:rPr>
                    <w:t>）组成</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322"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调料车间</w:t>
                  </w:r>
                </w:p>
              </w:tc>
              <w:tc>
                <w:tcPr>
                  <w:tcW w:w="3859"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主要由调料车间（建筑面积4394.05m</w:t>
                  </w:r>
                  <w:r>
                    <w:rPr>
                      <w:rFonts w:ascii="Times New Roman" w:hAnsi="Times New Roman" w:cs="Times New Roman"/>
                      <w:color w:val="auto"/>
                      <w:kern w:val="0"/>
                      <w:sz w:val="21"/>
                      <w:szCs w:val="21"/>
                      <w:u w:val="single"/>
                      <w:vertAlign w:val="superscript"/>
                    </w:rPr>
                    <w:t>2</w:t>
                  </w:r>
                  <w:r>
                    <w:rPr>
                      <w:rFonts w:ascii="Times New Roman" w:hAnsi="Times New Roman" w:cs="Times New Roman"/>
                      <w:color w:val="auto"/>
                      <w:kern w:val="0"/>
                      <w:sz w:val="21"/>
                      <w:szCs w:val="21"/>
                      <w:u w:val="single"/>
                    </w:rPr>
                    <w:t>）、汤料库（建筑面积3362.05m</w:t>
                  </w:r>
                  <w:r>
                    <w:rPr>
                      <w:rFonts w:ascii="Times New Roman" w:hAnsi="Times New Roman" w:cs="Times New Roman"/>
                      <w:color w:val="auto"/>
                      <w:kern w:val="0"/>
                      <w:sz w:val="21"/>
                      <w:szCs w:val="21"/>
                      <w:u w:val="single"/>
                      <w:vertAlign w:val="superscript"/>
                    </w:rPr>
                    <w:t>2</w:t>
                  </w:r>
                  <w:r>
                    <w:rPr>
                      <w:rFonts w:ascii="Times New Roman" w:hAnsi="Times New Roman" w:cs="Times New Roman"/>
                      <w:color w:val="auto"/>
                      <w:kern w:val="0"/>
                      <w:sz w:val="21"/>
                      <w:szCs w:val="21"/>
                      <w:u w:val="single"/>
                    </w:rPr>
                    <w:t>）等</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322"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风味包车间</w:t>
                  </w:r>
                </w:p>
              </w:tc>
              <w:tc>
                <w:tcPr>
                  <w:tcW w:w="3859"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主要由风味包原料库和风味包成品库组成，建筑面积9420m</w:t>
                  </w:r>
                  <w:r>
                    <w:rPr>
                      <w:rFonts w:ascii="Times New Roman" w:hAnsi="Times New Roman" w:cs="Times New Roman"/>
                      <w:color w:val="auto"/>
                      <w:kern w:val="0"/>
                      <w:sz w:val="21"/>
                      <w:szCs w:val="21"/>
                      <w:u w:val="single"/>
                      <w:vertAlign w:val="superscript"/>
                    </w:rPr>
                    <w:t>2</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322"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锅炉房</w:t>
                  </w:r>
                </w:p>
              </w:tc>
              <w:tc>
                <w:tcPr>
                  <w:tcW w:w="3859"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占地面积715m</w:t>
                  </w:r>
                  <w:r>
                    <w:rPr>
                      <w:rFonts w:ascii="Times New Roman" w:hAnsi="Times New Roman" w:cs="Times New Roman"/>
                      <w:color w:val="auto"/>
                      <w:kern w:val="0"/>
                      <w:sz w:val="21"/>
                      <w:szCs w:val="21"/>
                      <w:u w:val="single"/>
                      <w:vertAlign w:val="superscript"/>
                    </w:rPr>
                    <w:t>2</w:t>
                  </w:r>
                  <w:r>
                    <w:rPr>
                      <w:rFonts w:ascii="Times New Roman" w:hAnsi="Times New Roman" w:cs="Times New Roman"/>
                      <w:color w:val="auto"/>
                      <w:kern w:val="0"/>
                      <w:sz w:val="21"/>
                      <w:szCs w:val="21"/>
                      <w:u w:val="single"/>
                    </w:rPr>
                    <w:t>，共三层，用于生产供热</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11" w:hRule="atLeast"/>
              </w:trPr>
              <w:tc>
                <w:tcPr>
                  <w:tcW w:w="389" w:type="pct"/>
                  <w:vMerge w:val="restar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辅</w:t>
                  </w:r>
                </w:p>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助</w:t>
                  </w:r>
                </w:p>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工</w:t>
                  </w:r>
                </w:p>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程</w:t>
                  </w: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行政楼</w:t>
                  </w:r>
                </w:p>
              </w:tc>
              <w:tc>
                <w:tcPr>
                  <w:tcW w:w="3859"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占地面积约为576m</w:t>
                  </w:r>
                  <w:r>
                    <w:rPr>
                      <w:rFonts w:ascii="Times New Roman" w:hAnsi="Times New Roman" w:cs="Times New Roman"/>
                      <w:color w:val="auto"/>
                      <w:kern w:val="0"/>
                      <w:sz w:val="21"/>
                      <w:szCs w:val="21"/>
                      <w:u w:val="single"/>
                      <w:vertAlign w:val="superscript"/>
                    </w:rPr>
                    <w:t>2</w:t>
                  </w:r>
                  <w:r>
                    <w:rPr>
                      <w:rFonts w:ascii="Times New Roman" w:hAnsi="Times New Roman" w:cs="Times New Roman"/>
                      <w:color w:val="auto"/>
                      <w:kern w:val="0"/>
                      <w:sz w:val="21"/>
                      <w:szCs w:val="21"/>
                      <w:u w:val="single"/>
                    </w:rPr>
                    <w:t>，用于办公</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11"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u w:val="single"/>
                    </w:rPr>
                  </w:pP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食堂</w:t>
                  </w:r>
                </w:p>
              </w:tc>
              <w:tc>
                <w:tcPr>
                  <w:tcW w:w="3859"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占地面积约为1188m</w:t>
                  </w:r>
                  <w:r>
                    <w:rPr>
                      <w:rFonts w:ascii="Times New Roman" w:hAnsi="Times New Roman" w:cs="Times New Roman"/>
                      <w:color w:val="auto"/>
                      <w:kern w:val="0"/>
                      <w:sz w:val="21"/>
                      <w:szCs w:val="21"/>
                      <w:u w:val="single"/>
                      <w:vertAlign w:val="superscript"/>
                    </w:rPr>
                    <w:t>2</w:t>
                  </w:r>
                  <w:r>
                    <w:rPr>
                      <w:rFonts w:ascii="Times New Roman" w:hAnsi="Times New Roman" w:cs="Times New Roman"/>
                      <w:color w:val="auto"/>
                      <w:kern w:val="0"/>
                      <w:sz w:val="21"/>
                      <w:szCs w:val="21"/>
                      <w:u w:val="single"/>
                    </w:rPr>
                    <w:t>，用于就餐</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11"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宿舍楼</w:t>
                  </w:r>
                </w:p>
              </w:tc>
              <w:tc>
                <w:tcPr>
                  <w:tcW w:w="3859"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共两栋，老宿舍楼占地面积900m</w:t>
                  </w:r>
                  <w:r>
                    <w:rPr>
                      <w:rFonts w:ascii="Times New Roman" w:hAnsi="Times New Roman" w:cs="Times New Roman"/>
                      <w:color w:val="auto"/>
                      <w:kern w:val="0"/>
                      <w:sz w:val="21"/>
                      <w:szCs w:val="21"/>
                      <w:u w:val="single"/>
                      <w:vertAlign w:val="superscript"/>
                    </w:rPr>
                    <w:t>2</w:t>
                  </w:r>
                  <w:r>
                    <w:rPr>
                      <w:rFonts w:ascii="Times New Roman" w:hAnsi="Times New Roman" w:cs="Times New Roman"/>
                      <w:color w:val="auto"/>
                      <w:kern w:val="0"/>
                      <w:sz w:val="21"/>
                      <w:szCs w:val="21"/>
                      <w:u w:val="single"/>
                    </w:rPr>
                    <w:t xml:space="preserve"> ，2栋占地面积528m</w:t>
                  </w:r>
                  <w:r>
                    <w:rPr>
                      <w:rFonts w:ascii="Times New Roman" w:hAnsi="Times New Roman" w:cs="Times New Roman"/>
                      <w:color w:val="auto"/>
                      <w:kern w:val="0"/>
                      <w:sz w:val="21"/>
                      <w:szCs w:val="21"/>
                      <w:u w:val="single"/>
                      <w:vertAlign w:val="superscript"/>
                    </w:rPr>
                    <w:t>2</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restar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环保</w:t>
                  </w:r>
                </w:p>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工程</w:t>
                  </w:r>
                </w:p>
              </w:tc>
              <w:tc>
                <w:tcPr>
                  <w:tcW w:w="750" w:type="pct"/>
                  <w:tcBorders>
                    <w:tl2br w:val="nil"/>
                    <w:tr2bl w:val="nil"/>
                  </w:tcBorders>
                  <w:shd w:val="clear" w:color="auto" w:fill="auto"/>
                  <w:vAlign w:val="center"/>
                </w:tcPr>
                <w:p>
                  <w:pPr>
                    <w:pStyle w:val="15"/>
                    <w:spacing w:after="0" w:line="240" w:lineRule="auto"/>
                    <w:ind w:firstLine="0" w:firstLineChars="0"/>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废水</w:t>
                  </w:r>
                </w:p>
              </w:tc>
              <w:tc>
                <w:tcPr>
                  <w:tcW w:w="3859" w:type="pct"/>
                  <w:tcBorders>
                    <w:tl2br w:val="nil"/>
                    <w:tr2bl w:val="nil"/>
                  </w:tcBorders>
                  <w:shd w:val="clear" w:color="auto" w:fill="auto"/>
                  <w:vAlign w:val="center"/>
                </w:tcPr>
                <w:p>
                  <w:pPr>
                    <w:pStyle w:val="15"/>
                    <w:spacing w:after="0" w:line="240" w:lineRule="auto"/>
                    <w:ind w:firstLine="0" w:firstLineChars="0"/>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厂区现有综合污水处理系统1套，设计规模600m</w:t>
                  </w:r>
                  <w:r>
                    <w:rPr>
                      <w:rFonts w:ascii="Times New Roman" w:hAnsi="Times New Roman" w:cs="Times New Roman"/>
                      <w:color w:val="auto"/>
                      <w:sz w:val="21"/>
                      <w:szCs w:val="21"/>
                      <w:u w:val="single"/>
                      <w:vertAlign w:val="superscript"/>
                    </w:rPr>
                    <w:t>3</w:t>
                  </w:r>
                  <w:r>
                    <w:rPr>
                      <w:rFonts w:ascii="Times New Roman" w:hAnsi="Times New Roman" w:cs="Times New Roman"/>
                      <w:color w:val="auto"/>
                      <w:sz w:val="21"/>
                      <w:szCs w:val="21"/>
                      <w:u w:val="single"/>
                    </w:rPr>
                    <w:t>/d</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90"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sz w:val="21"/>
                      <w:szCs w:val="21"/>
                      <w:u w:val="single"/>
                    </w:rPr>
                    <w:t>废气</w:t>
                  </w:r>
                </w:p>
              </w:tc>
              <w:tc>
                <w:tcPr>
                  <w:tcW w:w="3859" w:type="pct"/>
                  <w:tcBorders>
                    <w:tl2br w:val="nil"/>
                    <w:tr2bl w:val="nil"/>
                  </w:tcBorders>
                  <w:shd w:val="clear" w:color="auto" w:fill="auto"/>
                  <w:vAlign w:val="center"/>
                </w:tcPr>
                <w:p>
                  <w:pPr>
                    <w:pStyle w:val="15"/>
                    <w:spacing w:after="0" w:line="240" w:lineRule="auto"/>
                    <w:ind w:firstLine="0" w:firstLineChars="0"/>
                    <w:jc w:val="center"/>
                    <w:rPr>
                      <w:rFonts w:ascii="Times New Roman" w:hAnsi="Times New Roman" w:cs="Times New Roman"/>
                      <w:color w:val="auto"/>
                      <w:sz w:val="21"/>
                      <w:szCs w:val="21"/>
                      <w:highlight w:val="none"/>
                      <w:u w:val="single"/>
                    </w:rPr>
                  </w:pPr>
                  <w:r>
                    <w:rPr>
                      <w:rFonts w:ascii="Times New Roman" w:hAnsi="Times New Roman" w:cs="Times New Roman"/>
                      <w:color w:val="auto"/>
                      <w:sz w:val="21"/>
                      <w:szCs w:val="21"/>
                      <w:u w:val="single"/>
                    </w:rPr>
                    <w:t>厂区</w:t>
                  </w:r>
                  <w:r>
                    <w:rPr>
                      <w:rFonts w:hint="eastAsia" w:ascii="Times New Roman" w:hAnsi="Times New Roman" w:cs="Times New Roman"/>
                      <w:color w:val="auto"/>
                      <w:sz w:val="21"/>
                      <w:szCs w:val="21"/>
                      <w:u w:val="single"/>
                    </w:rPr>
                    <w:t>现有1</w:t>
                  </w:r>
                  <w:r>
                    <w:rPr>
                      <w:rFonts w:ascii="Times New Roman" w:hAnsi="Times New Roman" w:cs="Times New Roman"/>
                      <w:color w:val="auto"/>
                      <w:sz w:val="21"/>
                      <w:szCs w:val="21"/>
                      <w:u w:val="single"/>
                    </w:rPr>
                    <w:t>5t/h</w:t>
                  </w:r>
                  <w:r>
                    <w:rPr>
                      <w:rFonts w:hint="eastAsia" w:ascii="Times New Roman" w:hAnsi="Times New Roman" w:cs="Times New Roman"/>
                      <w:color w:val="auto"/>
                      <w:sz w:val="21"/>
                      <w:szCs w:val="21"/>
                      <w:u w:val="single"/>
                    </w:rPr>
                    <w:t>天然气</w:t>
                  </w:r>
                  <w:r>
                    <w:rPr>
                      <w:rFonts w:ascii="Times New Roman" w:hAnsi="Times New Roman" w:cs="Times New Roman"/>
                      <w:color w:val="auto"/>
                      <w:sz w:val="21"/>
                      <w:szCs w:val="21"/>
                      <w:u w:val="single"/>
                    </w:rPr>
                    <w:t>锅炉</w:t>
                  </w:r>
                  <w:r>
                    <w:rPr>
                      <w:rFonts w:hint="eastAsia" w:ascii="Times New Roman" w:hAnsi="Times New Roman" w:cs="Times New Roman"/>
                      <w:color w:val="auto"/>
                      <w:sz w:val="21"/>
                      <w:szCs w:val="21"/>
                      <w:u w:val="single"/>
                    </w:rPr>
                    <w:t>的锅炉</w:t>
                  </w:r>
                  <w:r>
                    <w:rPr>
                      <w:rFonts w:ascii="Times New Roman" w:hAnsi="Times New Roman" w:cs="Times New Roman"/>
                      <w:color w:val="auto"/>
                      <w:sz w:val="21"/>
                      <w:szCs w:val="21"/>
                      <w:u w:val="single"/>
                    </w:rPr>
                    <w:t>烟气</w:t>
                  </w:r>
                  <w:r>
                    <w:rPr>
                      <w:rFonts w:hint="eastAsia" w:ascii="Times New Roman" w:hAnsi="Times New Roman" w:cs="Times New Roman"/>
                      <w:color w:val="auto"/>
                      <w:sz w:val="21"/>
                      <w:szCs w:val="21"/>
                      <w:u w:val="single"/>
                    </w:rPr>
                    <w:t>经自带低氮燃烧器+烟气再循环技术后</w:t>
                  </w:r>
                  <w:r>
                    <w:rPr>
                      <w:rFonts w:ascii="Times New Roman" w:hAnsi="Times New Roman" w:cs="Times New Roman"/>
                      <w:color w:val="auto"/>
                      <w:sz w:val="21"/>
                      <w:szCs w:val="21"/>
                      <w:highlight w:val="none"/>
                      <w:u w:val="single"/>
                    </w:rPr>
                    <w:t>由1根2</w:t>
                  </w:r>
                  <w:r>
                    <w:rPr>
                      <w:rFonts w:hint="eastAsia" w:ascii="Times New Roman" w:hAnsi="Times New Roman" w:cs="Times New Roman"/>
                      <w:color w:val="auto"/>
                      <w:sz w:val="21"/>
                      <w:szCs w:val="21"/>
                      <w:highlight w:val="none"/>
                      <w:u w:val="single"/>
                      <w:lang w:val="en-US" w:eastAsia="zh-CN"/>
                    </w:rPr>
                    <w:t>3</w:t>
                  </w:r>
                  <w:r>
                    <w:rPr>
                      <w:rFonts w:ascii="Times New Roman" w:hAnsi="Times New Roman" w:cs="Times New Roman"/>
                      <w:color w:val="auto"/>
                      <w:sz w:val="21"/>
                      <w:szCs w:val="21"/>
                      <w:highlight w:val="none"/>
                      <w:u w:val="single"/>
                    </w:rPr>
                    <w:t>m烟囱高空排放</w:t>
                  </w:r>
                </w:p>
                <w:p>
                  <w:pPr>
                    <w:pStyle w:val="15"/>
                    <w:spacing w:after="0" w:line="240" w:lineRule="auto"/>
                    <w:ind w:firstLine="0" w:firstLineChars="0"/>
                    <w:jc w:val="center"/>
                    <w:rPr>
                      <w:rFonts w:ascii="Times New Roman" w:hAnsi="Times New Roman" w:cs="Times New Roman"/>
                      <w:color w:val="auto"/>
                      <w:kern w:val="0"/>
                      <w:sz w:val="21"/>
                      <w:szCs w:val="21"/>
                      <w:u w:val="single"/>
                    </w:rPr>
                  </w:pPr>
                  <w:r>
                    <w:rPr>
                      <w:rFonts w:ascii="Times New Roman" w:hAnsi="Times New Roman" w:cs="Times New Roman"/>
                      <w:color w:val="auto"/>
                      <w:sz w:val="21"/>
                      <w:szCs w:val="21"/>
                      <w:u w:val="single"/>
                    </w:rPr>
                    <w:t>食堂油烟经静电除油烟机由7m烟囱排放；调味车间油烟采用静电除油烟机处理后由10m排气筒排放</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sz w:val="21"/>
                      <w:szCs w:val="21"/>
                      <w:u w:val="single"/>
                    </w:rPr>
                    <w:t>噪声</w:t>
                  </w:r>
                </w:p>
              </w:tc>
              <w:tc>
                <w:tcPr>
                  <w:tcW w:w="3859"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sz w:val="21"/>
                      <w:szCs w:val="21"/>
                      <w:u w:val="single"/>
                    </w:rPr>
                    <w:t>减震、隔声等降噪措施</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固废</w:t>
                  </w:r>
                </w:p>
              </w:tc>
              <w:tc>
                <w:tcPr>
                  <w:tcW w:w="3859" w:type="pct"/>
                  <w:tcBorders>
                    <w:tl2br w:val="nil"/>
                    <w:tr2bl w:val="nil"/>
                  </w:tcBorders>
                  <w:shd w:val="clear" w:color="auto" w:fill="auto"/>
                  <w:vAlign w:val="center"/>
                </w:tcPr>
                <w:p>
                  <w:pPr>
                    <w:autoSpaceDE w:val="0"/>
                    <w:autoSpaceDN w:val="0"/>
                    <w:spacing w:line="240" w:lineRule="auto"/>
                    <w:contextualSpacing/>
                    <w:jc w:val="center"/>
                    <w:rPr>
                      <w:rFonts w:hint="eastAsia" w:ascii="Times New Roman" w:hAnsi="Times New Roman" w:cs="Times New Roman" w:eastAsiaTheme="minorEastAsia"/>
                      <w:color w:val="auto"/>
                      <w:sz w:val="21"/>
                      <w:szCs w:val="21"/>
                      <w:u w:val="single"/>
                      <w:lang w:eastAsia="zh-CN"/>
                    </w:rPr>
                  </w:pPr>
                  <w:r>
                    <w:rPr>
                      <w:rFonts w:ascii="Times New Roman" w:hAnsi="Times New Roman" w:cs="Times New Roman"/>
                      <w:color w:val="auto"/>
                      <w:sz w:val="21"/>
                      <w:szCs w:val="21"/>
                      <w:u w:val="single"/>
                    </w:rPr>
                    <w:t>生活垃圾和废酸菜送垃圾场处理和综合利用，废植物油收集后上交总公司统一处理。</w:t>
                  </w:r>
                  <w:r>
                    <w:rPr>
                      <w:rFonts w:hint="eastAsia" w:ascii="Times New Roman" w:hAnsi="Times New Roman" w:cs="Times New Roman"/>
                      <w:color w:val="auto"/>
                      <w:sz w:val="21"/>
                      <w:szCs w:val="21"/>
                      <w:u w:val="single"/>
                      <w:lang w:eastAsia="zh-CN"/>
                    </w:rPr>
                    <w:t>污水处理站污泥经脱水后交由环卫部门清运处理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restar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公用</w:t>
                  </w:r>
                </w:p>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kern w:val="0"/>
                      <w:sz w:val="21"/>
                      <w:szCs w:val="21"/>
                      <w:u w:val="single"/>
                    </w:rPr>
                    <w:t>工程</w:t>
                  </w:r>
                </w:p>
              </w:tc>
              <w:tc>
                <w:tcPr>
                  <w:tcW w:w="750" w:type="pct"/>
                  <w:tcBorders>
                    <w:tl2br w:val="nil"/>
                    <w:tr2bl w:val="nil"/>
                  </w:tcBorders>
                  <w:shd w:val="clear" w:color="auto" w:fill="auto"/>
                  <w:vAlign w:val="center"/>
                </w:tcPr>
                <w:p>
                  <w:pPr>
                    <w:pStyle w:val="15"/>
                    <w:spacing w:after="0" w:line="240" w:lineRule="auto"/>
                    <w:ind w:firstLine="0" w:firstLineChars="0"/>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供电</w:t>
                  </w:r>
                </w:p>
              </w:tc>
              <w:tc>
                <w:tcPr>
                  <w:tcW w:w="3859" w:type="pct"/>
                  <w:tcBorders>
                    <w:tl2br w:val="nil"/>
                    <w:tr2bl w:val="nil"/>
                  </w:tcBorders>
                  <w:shd w:val="clear" w:color="auto" w:fill="auto"/>
                  <w:vAlign w:val="center"/>
                </w:tcPr>
                <w:p>
                  <w:pPr>
                    <w:pStyle w:val="15"/>
                    <w:spacing w:after="0" w:line="240" w:lineRule="auto"/>
                    <w:ind w:firstLine="0" w:firstLineChars="0"/>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厂区的供电由市政电力干线网供给，并由厂区的配电间供给各用电场所。有完整的供电网络系统，电力供应充足，厂内设有30kw备用发电机一台，可提供备用电力来源。</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p>
              </w:tc>
              <w:tc>
                <w:tcPr>
                  <w:tcW w:w="750" w:type="pct"/>
                  <w:tcBorders>
                    <w:tl2br w:val="nil"/>
                    <w:tr2bl w:val="nil"/>
                  </w:tcBorders>
                  <w:shd w:val="clear" w:color="auto" w:fill="auto"/>
                  <w:vAlign w:val="center"/>
                </w:tcPr>
                <w:p>
                  <w:pPr>
                    <w:pStyle w:val="15"/>
                    <w:spacing w:after="0" w:line="240" w:lineRule="auto"/>
                    <w:ind w:firstLine="0" w:firstLineChars="0"/>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供气</w:t>
                  </w:r>
                </w:p>
              </w:tc>
              <w:tc>
                <w:tcPr>
                  <w:tcW w:w="3859" w:type="pct"/>
                  <w:tcBorders>
                    <w:tl2br w:val="nil"/>
                    <w:tr2bl w:val="nil"/>
                  </w:tcBorders>
                  <w:shd w:val="clear" w:color="auto" w:fill="auto"/>
                  <w:vAlign w:val="center"/>
                </w:tcPr>
                <w:p>
                  <w:pPr>
                    <w:pStyle w:val="15"/>
                    <w:spacing w:after="0" w:line="240" w:lineRule="auto"/>
                    <w:ind w:firstLine="0" w:firstLineChars="0"/>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项目供气由岳阳华润燃气有限公司供给。</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sz w:val="21"/>
                      <w:szCs w:val="21"/>
                      <w:u w:val="single"/>
                    </w:rPr>
                    <w:t>给水</w:t>
                  </w:r>
                </w:p>
              </w:tc>
              <w:tc>
                <w:tcPr>
                  <w:tcW w:w="3859"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sz w:val="21"/>
                      <w:szCs w:val="21"/>
                      <w:u w:val="single"/>
                    </w:rPr>
                    <w:t>由市政自来水管网统一供给</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蒸汽</w:t>
                  </w:r>
                </w:p>
              </w:tc>
              <w:tc>
                <w:tcPr>
                  <w:tcW w:w="3859"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天然气锅炉15t/h*1台</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p>
              </w:tc>
              <w:tc>
                <w:tcPr>
                  <w:tcW w:w="75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sz w:val="21"/>
                      <w:szCs w:val="21"/>
                      <w:u w:val="single"/>
                    </w:rPr>
                    <w:t>排水</w:t>
                  </w:r>
                </w:p>
              </w:tc>
              <w:tc>
                <w:tcPr>
                  <w:tcW w:w="3859"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u w:val="single"/>
                    </w:rPr>
                  </w:pPr>
                  <w:r>
                    <w:rPr>
                      <w:rFonts w:ascii="Times New Roman" w:hAnsi="Times New Roman" w:cs="Times New Roman"/>
                      <w:color w:val="auto"/>
                      <w:sz w:val="21"/>
                      <w:szCs w:val="21"/>
                      <w:u w:val="single"/>
                    </w:rPr>
                    <w:t>厂区生活污水经化粪池预处理；生产废水经污水站处理后排入市政污水管网进入罗家坡污水处理厂。</w:t>
                  </w:r>
                </w:p>
              </w:tc>
            </w:tr>
          </w:tbl>
          <w:p>
            <w:pPr>
              <w:spacing w:line="360" w:lineRule="auto"/>
              <w:jc w:val="center"/>
              <w:rPr>
                <w:rFonts w:ascii="Times New Roman" w:hAnsi="Times New Roman" w:cs="Times New Roman"/>
                <w:b/>
                <w:bCs/>
                <w:color w:val="auto"/>
              </w:rPr>
            </w:pPr>
            <w:r>
              <w:rPr>
                <w:rFonts w:ascii="Times New Roman" w:hAnsi="Times New Roman" w:cs="Times New Roman"/>
                <w:b/>
                <w:bCs/>
                <w:color w:val="auto"/>
              </w:rPr>
              <w:t>表1-7  企业现有主要设备一览表</w:t>
            </w:r>
          </w:p>
          <w:tbl>
            <w:tblPr>
              <w:tblStyle w:val="17"/>
              <w:tblW w:w="5000"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0" w:type="dxa"/>
                <w:bottom w:w="0" w:type="dxa"/>
                <w:right w:w="0" w:type="dxa"/>
              </w:tblCellMar>
            </w:tblPr>
            <w:tblGrid>
              <w:gridCol w:w="3675"/>
              <w:gridCol w:w="3653"/>
              <w:gridCol w:w="1742"/>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bottom w:val="single" w:color="auto" w:sz="12" w:space="0"/>
                  </w:tcBorders>
                  <w:shd w:val="clear" w:color="auto" w:fill="auto"/>
                  <w:vAlign w:val="center"/>
                </w:tcPr>
                <w:p>
                  <w:pPr>
                    <w:autoSpaceDE w:val="0"/>
                    <w:autoSpaceDN w:val="0"/>
                    <w:spacing w:line="240" w:lineRule="auto"/>
                    <w:contextualSpacing/>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设备名称</w:t>
                  </w:r>
                </w:p>
              </w:tc>
              <w:tc>
                <w:tcPr>
                  <w:tcW w:w="2013" w:type="pct"/>
                  <w:tcBorders>
                    <w:bottom w:val="single" w:color="auto" w:sz="12" w:space="0"/>
                  </w:tcBorders>
                  <w:shd w:val="clear" w:color="auto" w:fill="auto"/>
                  <w:vAlign w:val="center"/>
                </w:tcPr>
                <w:p>
                  <w:pPr>
                    <w:autoSpaceDE w:val="0"/>
                    <w:autoSpaceDN w:val="0"/>
                    <w:spacing w:line="240" w:lineRule="auto"/>
                    <w:contextualSpacing/>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型号或规格</w:t>
                  </w:r>
                </w:p>
              </w:tc>
              <w:tc>
                <w:tcPr>
                  <w:tcW w:w="960" w:type="pct"/>
                  <w:tcBorders>
                    <w:bottom w:val="single" w:color="auto" w:sz="12" w:space="0"/>
                  </w:tcBorders>
                  <w:shd w:val="clear" w:color="auto" w:fill="auto"/>
                  <w:vAlign w:val="center"/>
                </w:tcPr>
                <w:p>
                  <w:pPr>
                    <w:autoSpaceDE w:val="0"/>
                    <w:autoSpaceDN w:val="0"/>
                    <w:spacing w:line="240" w:lineRule="auto"/>
                    <w:contextualSpacing/>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数量</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top w:val="single" w:color="auto" w:sz="12" w:space="0"/>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天然气锅炉</w:t>
                  </w:r>
                </w:p>
              </w:tc>
              <w:tc>
                <w:tcPr>
                  <w:tcW w:w="2013" w:type="pct"/>
                  <w:tcBorders>
                    <w:top w:val="single" w:color="auto" w:sz="12" w:space="0"/>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方快WNS15-1.25-Y,Q</w:t>
                  </w:r>
                </w:p>
              </w:tc>
              <w:tc>
                <w:tcPr>
                  <w:tcW w:w="960" w:type="pct"/>
                  <w:tcBorders>
                    <w:top w:val="single" w:color="auto" w:sz="12" w:space="0"/>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清洗机</w:t>
                  </w:r>
                </w:p>
              </w:tc>
              <w:tc>
                <w:tcPr>
                  <w:tcW w:w="2013"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12500*800</w:t>
                  </w:r>
                </w:p>
              </w:tc>
              <w:tc>
                <w:tcPr>
                  <w:tcW w:w="96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调味包生产包装机</w:t>
                  </w:r>
                </w:p>
              </w:tc>
              <w:tc>
                <w:tcPr>
                  <w:tcW w:w="2013"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JW150</w:t>
                  </w:r>
                </w:p>
              </w:tc>
              <w:tc>
                <w:tcPr>
                  <w:tcW w:w="96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33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方便面生产线</w:t>
                  </w:r>
                </w:p>
              </w:tc>
              <w:tc>
                <w:tcPr>
                  <w:tcW w:w="2013"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15W-20W</w:t>
                  </w:r>
                </w:p>
              </w:tc>
              <w:tc>
                <w:tcPr>
                  <w:tcW w:w="96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72" w:hRule="exact"/>
                <w:jc w:val="center"/>
              </w:trPr>
              <w:tc>
                <w:tcPr>
                  <w:tcW w:w="2025"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切菜机</w:t>
                  </w:r>
                </w:p>
              </w:tc>
              <w:tc>
                <w:tcPr>
                  <w:tcW w:w="2013"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FL80</w:t>
                  </w:r>
                </w:p>
              </w:tc>
              <w:tc>
                <w:tcPr>
                  <w:tcW w:w="96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自动拌料机</w:t>
                  </w:r>
                </w:p>
              </w:tc>
              <w:tc>
                <w:tcPr>
                  <w:tcW w:w="2013"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1900*1500</w:t>
                  </w:r>
                </w:p>
              </w:tc>
              <w:tc>
                <w:tcPr>
                  <w:tcW w:w="96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72" w:hRule="exact"/>
                <w:jc w:val="center"/>
              </w:trPr>
              <w:tc>
                <w:tcPr>
                  <w:tcW w:w="2025"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真空包装机</w:t>
                  </w:r>
                </w:p>
              </w:tc>
              <w:tc>
                <w:tcPr>
                  <w:tcW w:w="2013"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S600-4F</w:t>
                  </w:r>
                </w:p>
              </w:tc>
              <w:tc>
                <w:tcPr>
                  <w:tcW w:w="96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40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4" w:hRule="exact"/>
                <w:jc w:val="center"/>
              </w:trPr>
              <w:tc>
                <w:tcPr>
                  <w:tcW w:w="2025"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杀菌冷却机</w:t>
                  </w:r>
                </w:p>
              </w:tc>
              <w:tc>
                <w:tcPr>
                  <w:tcW w:w="2013"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16500*1500</w:t>
                  </w:r>
                </w:p>
              </w:tc>
              <w:tc>
                <w:tcPr>
                  <w:tcW w:w="96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72" w:hRule="exact"/>
                <w:jc w:val="center"/>
              </w:trPr>
              <w:tc>
                <w:tcPr>
                  <w:tcW w:w="2025"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三层烘干机</w:t>
                  </w:r>
                </w:p>
              </w:tc>
              <w:tc>
                <w:tcPr>
                  <w:tcW w:w="2013"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8500*1500</w:t>
                  </w:r>
                </w:p>
              </w:tc>
              <w:tc>
                <w:tcPr>
                  <w:tcW w:w="96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4" w:hRule="exact"/>
                <w:jc w:val="center"/>
              </w:trPr>
              <w:tc>
                <w:tcPr>
                  <w:tcW w:w="2025"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数字金属检测仪</w:t>
                  </w:r>
                </w:p>
              </w:tc>
              <w:tc>
                <w:tcPr>
                  <w:tcW w:w="2013"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w:t>
                  </w:r>
                </w:p>
              </w:tc>
              <w:tc>
                <w:tcPr>
                  <w:tcW w:w="96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2025"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双桶轮换式压榨机</w:t>
                  </w:r>
                </w:p>
              </w:tc>
              <w:tc>
                <w:tcPr>
                  <w:tcW w:w="2013"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1000型</w:t>
                  </w:r>
                </w:p>
              </w:tc>
              <w:tc>
                <w:tcPr>
                  <w:tcW w:w="96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2025"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红油炒锅</w:t>
                  </w:r>
                </w:p>
              </w:tc>
              <w:tc>
                <w:tcPr>
                  <w:tcW w:w="2013"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w:t>
                  </w:r>
                </w:p>
              </w:tc>
              <w:tc>
                <w:tcPr>
                  <w:tcW w:w="960" w:type="pct"/>
                  <w:tcBorders>
                    <w:tl2br w:val="nil"/>
                    <w:tr2bl w:val="nil"/>
                  </w:tcBorders>
                  <w:shd w:val="clear" w:color="auto" w:fill="auto"/>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1台</w:t>
                  </w:r>
                </w:p>
              </w:tc>
            </w:tr>
          </w:tbl>
          <w:p>
            <w:pPr>
              <w:spacing w:line="360" w:lineRule="auto"/>
              <w:jc w:val="center"/>
              <w:rPr>
                <w:rFonts w:ascii="Times New Roman" w:hAnsi="Times New Roman" w:cs="Times New Roman"/>
                <w:b/>
                <w:bCs/>
                <w:color w:val="auto"/>
                <w:lang w:val="de-DE"/>
              </w:rPr>
            </w:pPr>
            <w:r>
              <w:rPr>
                <w:rFonts w:ascii="Times New Roman" w:hAnsi="Times New Roman" w:cs="Times New Roman"/>
                <w:b/>
                <w:bCs/>
                <w:color w:val="auto"/>
                <w:lang w:val="de-DE"/>
              </w:rPr>
              <w:t>表</w:t>
            </w:r>
            <w:r>
              <w:rPr>
                <w:rFonts w:ascii="Times New Roman" w:hAnsi="Times New Roman" w:cs="Times New Roman"/>
                <w:b/>
                <w:bCs/>
                <w:color w:val="auto"/>
              </w:rPr>
              <w:t xml:space="preserve">1-8 </w:t>
            </w:r>
            <w:r>
              <w:rPr>
                <w:rFonts w:ascii="Times New Roman" w:hAnsi="Times New Roman" w:cs="Times New Roman"/>
                <w:b/>
                <w:bCs/>
                <w:color w:val="auto"/>
                <w:lang w:val="de-DE"/>
              </w:rPr>
              <w:t xml:space="preserve"> 主要能源以及资源消耗一览表</w:t>
            </w:r>
          </w:p>
          <w:tbl>
            <w:tblPr>
              <w:tblStyle w:val="17"/>
              <w:tblW w:w="5000"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3206"/>
              <w:gridCol w:w="3629"/>
              <w:gridCol w:w="2235"/>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91" w:hRule="atLeast"/>
                <w:jc w:val="center"/>
              </w:trPr>
              <w:tc>
                <w:tcPr>
                  <w:tcW w:w="1767" w:type="pct"/>
                  <w:tcBorders>
                    <w:bottom w:val="single" w:color="auto" w:sz="12" w:space="0"/>
                  </w:tcBorders>
                  <w:vAlign w:val="center"/>
                </w:tcPr>
                <w:p>
                  <w:pPr>
                    <w:autoSpaceDE w:val="0"/>
                    <w:autoSpaceDN w:val="0"/>
                    <w:spacing w:line="240" w:lineRule="auto"/>
                    <w:contextualSpacing/>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类别</w:t>
                  </w:r>
                </w:p>
              </w:tc>
              <w:tc>
                <w:tcPr>
                  <w:tcW w:w="2000" w:type="pct"/>
                  <w:tcBorders>
                    <w:bottom w:val="single" w:color="auto" w:sz="12" w:space="0"/>
                  </w:tcBorders>
                  <w:vAlign w:val="center"/>
                </w:tcPr>
                <w:p>
                  <w:pPr>
                    <w:autoSpaceDE w:val="0"/>
                    <w:autoSpaceDN w:val="0"/>
                    <w:spacing w:line="240" w:lineRule="auto"/>
                    <w:contextualSpacing/>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年耗量</w:t>
                  </w:r>
                </w:p>
              </w:tc>
              <w:tc>
                <w:tcPr>
                  <w:tcW w:w="1232" w:type="pct"/>
                  <w:tcBorders>
                    <w:bottom w:val="single" w:color="auto" w:sz="12" w:space="0"/>
                  </w:tcBorders>
                  <w:vAlign w:val="center"/>
                </w:tcPr>
                <w:p>
                  <w:pPr>
                    <w:autoSpaceDE w:val="0"/>
                    <w:autoSpaceDN w:val="0"/>
                    <w:spacing w:line="240" w:lineRule="auto"/>
                    <w:contextualSpacing/>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储运方式</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66" w:hRule="atLeast"/>
                <w:jc w:val="center"/>
              </w:trPr>
              <w:tc>
                <w:tcPr>
                  <w:tcW w:w="1767" w:type="pct"/>
                  <w:tcBorders>
                    <w:top w:val="single" w:color="auto" w:sz="12" w:space="0"/>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自来水</w:t>
                  </w:r>
                </w:p>
              </w:tc>
              <w:tc>
                <w:tcPr>
                  <w:tcW w:w="2000" w:type="pct"/>
                  <w:tcBorders>
                    <w:top w:val="single" w:color="auto" w:sz="12" w:space="0"/>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16.22万t/a</w:t>
                  </w:r>
                </w:p>
              </w:tc>
              <w:tc>
                <w:tcPr>
                  <w:tcW w:w="1232" w:type="pct"/>
                  <w:tcBorders>
                    <w:top w:val="single" w:color="auto" w:sz="12" w:space="0"/>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管网</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6" w:hRule="atLeast"/>
                <w:jc w:val="center"/>
              </w:trPr>
              <w:tc>
                <w:tcPr>
                  <w:tcW w:w="1767"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电</w:t>
                  </w:r>
                </w:p>
              </w:tc>
              <w:tc>
                <w:tcPr>
                  <w:tcW w:w="2000"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197.2万kw/h</w:t>
                  </w:r>
                </w:p>
              </w:tc>
              <w:tc>
                <w:tcPr>
                  <w:tcW w:w="1232"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电网</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6" w:hRule="atLeast"/>
                <w:jc w:val="center"/>
              </w:trPr>
              <w:tc>
                <w:tcPr>
                  <w:tcW w:w="1767"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天然气</w:t>
                  </w:r>
                </w:p>
              </w:tc>
              <w:tc>
                <w:tcPr>
                  <w:tcW w:w="2000"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749.35万m</w:t>
                  </w:r>
                  <w:r>
                    <w:rPr>
                      <w:rFonts w:ascii="Times New Roman" w:hAnsi="Times New Roman" w:cs="Times New Roman"/>
                      <w:color w:val="auto"/>
                      <w:kern w:val="0"/>
                      <w:sz w:val="21"/>
                      <w:szCs w:val="21"/>
                      <w:vertAlign w:val="superscript"/>
                    </w:rPr>
                    <w:t>3</w:t>
                  </w:r>
                  <w:r>
                    <w:rPr>
                      <w:rFonts w:ascii="Times New Roman" w:hAnsi="Times New Roman" w:cs="Times New Roman"/>
                      <w:color w:val="auto"/>
                      <w:kern w:val="0"/>
                      <w:sz w:val="21"/>
                      <w:szCs w:val="21"/>
                    </w:rPr>
                    <w:t>/a</w:t>
                  </w:r>
                </w:p>
              </w:tc>
              <w:tc>
                <w:tcPr>
                  <w:tcW w:w="1232"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管网</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6" w:hRule="atLeast"/>
                <w:jc w:val="center"/>
              </w:trPr>
              <w:tc>
                <w:tcPr>
                  <w:tcW w:w="1767"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液化气</w:t>
                  </w:r>
                </w:p>
              </w:tc>
              <w:tc>
                <w:tcPr>
                  <w:tcW w:w="2000"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12480kg</w:t>
                  </w:r>
                </w:p>
              </w:tc>
              <w:tc>
                <w:tcPr>
                  <w:tcW w:w="1232"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（钢）瓶装</w:t>
                  </w:r>
                </w:p>
              </w:tc>
            </w:tr>
          </w:tbl>
          <w:p>
            <w:pPr>
              <w:ind w:firstLine="482" w:firstLineChars="200"/>
              <w:rPr>
                <w:rFonts w:ascii="Times New Roman" w:hAnsi="Times New Roman" w:cs="Times New Roman"/>
                <w:b/>
                <w:bCs/>
                <w:color w:val="auto"/>
              </w:rPr>
            </w:pPr>
          </w:p>
          <w:p>
            <w:pPr>
              <w:ind w:firstLine="482" w:firstLineChars="200"/>
              <w:rPr>
                <w:rFonts w:ascii="Times New Roman" w:hAnsi="Times New Roman" w:cs="Times New Roman"/>
                <w:b/>
                <w:bCs/>
                <w:color w:val="auto"/>
              </w:rPr>
            </w:pPr>
          </w:p>
          <w:p>
            <w:pPr>
              <w:ind w:firstLine="482" w:firstLineChars="200"/>
              <w:rPr>
                <w:rFonts w:ascii="Times New Roman" w:hAnsi="Times New Roman" w:cs="Times New Roman"/>
                <w:b/>
                <w:bCs/>
                <w:color w:val="auto"/>
              </w:rPr>
            </w:pPr>
          </w:p>
          <w:p>
            <w:pPr>
              <w:ind w:firstLine="482" w:firstLineChars="200"/>
              <w:rPr>
                <w:rFonts w:ascii="Times New Roman" w:hAnsi="Times New Roman" w:cs="Times New Roman"/>
                <w:b/>
                <w:bCs/>
                <w:color w:val="auto"/>
              </w:rPr>
            </w:pPr>
          </w:p>
          <w:p>
            <w:pPr>
              <w:ind w:firstLine="482" w:firstLineChars="200"/>
              <w:rPr>
                <w:rFonts w:ascii="Times New Roman" w:hAnsi="Times New Roman" w:cs="Times New Roman"/>
                <w:b/>
                <w:bCs/>
                <w:color w:val="auto"/>
              </w:rPr>
            </w:pPr>
          </w:p>
          <w:p>
            <w:pPr>
              <w:ind w:firstLine="482" w:firstLineChars="200"/>
              <w:rPr>
                <w:rFonts w:ascii="Times New Roman" w:hAnsi="Times New Roman" w:cs="Times New Roman"/>
                <w:b/>
                <w:bCs/>
                <w:color w:val="auto"/>
              </w:rPr>
            </w:pPr>
            <w:r>
              <w:rPr>
                <w:rFonts w:ascii="Times New Roman" w:hAnsi="Times New Roman" w:cs="Times New Roman"/>
                <w:b/>
                <w:bCs/>
                <w:color w:val="auto"/>
              </w:rPr>
              <w:t>2、原有生工艺及产污环节</w:t>
            </w:r>
          </w:p>
          <w:p>
            <w:pPr>
              <w:ind w:firstLine="480" w:firstLineChars="200"/>
              <w:rPr>
                <w:rFonts w:ascii="Times New Roman" w:hAnsi="Times New Roman" w:cs="Times New Roman"/>
                <w:color w:val="auto"/>
              </w:rPr>
            </w:pPr>
            <w:r>
              <w:rPr>
                <w:rFonts w:ascii="Times New Roman" w:hAnsi="Times New Roman" w:cs="Times New Roman"/>
                <w:color w:val="auto"/>
              </w:rPr>
              <w:t>酸菜调料包工艺流程及产污环节如图：</w:t>
            </w:r>
          </w:p>
          <w:p>
            <w:pPr>
              <w:rPr>
                <w:rFonts w:ascii="Times New Roman" w:hAnsi="Times New Roman" w:cs="Times New Roman"/>
                <w:color w:val="auto"/>
              </w:rPr>
            </w:pPr>
            <w:r>
              <w:rPr>
                <w:rFonts w:ascii="Times New Roman" w:hAnsi="Times New Roman" w:cs="Times New Roman"/>
                <w:color w:val="auto"/>
              </w:rPr>
              <w:drawing>
                <wp:anchor distT="0" distB="0" distL="114300" distR="114300" simplePos="0" relativeHeight="251655168" behindDoc="0" locked="0" layoutInCell="1" allowOverlap="1">
                  <wp:simplePos x="0" y="0"/>
                  <wp:positionH relativeFrom="column">
                    <wp:posOffset>360045</wp:posOffset>
                  </wp:positionH>
                  <wp:positionV relativeFrom="paragraph">
                    <wp:posOffset>27940</wp:posOffset>
                  </wp:positionV>
                  <wp:extent cx="5039995" cy="2155825"/>
                  <wp:effectExtent l="0" t="0" r="8255" b="15875"/>
                  <wp:wrapNone/>
                  <wp:docPr id="59" name="图片 59" descr="1579422882(1)"/>
                  <wp:cNvGraphicFramePr/>
                  <a:graphic xmlns:a="http://schemas.openxmlformats.org/drawingml/2006/main">
                    <a:graphicData uri="http://schemas.openxmlformats.org/drawingml/2006/picture">
                      <pic:pic xmlns:pic="http://schemas.openxmlformats.org/drawingml/2006/picture">
                        <pic:nvPicPr>
                          <pic:cNvPr id="59" name="图片 59" descr="1579422882(1)"/>
                          <pic:cNvPicPr/>
                        </pic:nvPicPr>
                        <pic:blipFill>
                          <a:blip r:embed="rId7"/>
                          <a:stretch>
                            <a:fillRect/>
                          </a:stretch>
                        </pic:blipFill>
                        <pic:spPr>
                          <a:xfrm>
                            <a:off x="0" y="0"/>
                            <a:ext cx="5039995" cy="2155825"/>
                          </a:xfrm>
                          <a:prstGeom prst="rect">
                            <a:avLst/>
                          </a:prstGeom>
                        </pic:spPr>
                      </pic:pic>
                    </a:graphicData>
                  </a:graphic>
                </wp:anchor>
              </w:drawing>
            </w:r>
          </w:p>
          <w:p>
            <w:pPr>
              <w:rPr>
                <w:rFonts w:ascii="Times New Roman" w:hAnsi="Times New Roman" w:cs="Times New Roman"/>
                <w:color w:val="auto"/>
              </w:rPr>
            </w:pPr>
          </w:p>
          <w:p>
            <w:pPr>
              <w:rPr>
                <w:rFonts w:ascii="Times New Roman" w:hAnsi="Times New Roman" w:cs="Times New Roman"/>
                <w:color w:val="auto"/>
              </w:rPr>
            </w:pPr>
          </w:p>
          <w:p>
            <w:pPr>
              <w:rPr>
                <w:rFonts w:ascii="Times New Roman" w:hAnsi="Times New Roman" w:cs="Times New Roman"/>
                <w:color w:val="auto"/>
              </w:rPr>
            </w:pPr>
          </w:p>
          <w:p>
            <w:pPr>
              <w:rPr>
                <w:rFonts w:ascii="Times New Roman" w:hAnsi="Times New Roman" w:cs="Times New Roman"/>
                <w:color w:val="auto"/>
              </w:rPr>
            </w:pPr>
          </w:p>
          <w:p>
            <w:pPr>
              <w:rPr>
                <w:rFonts w:ascii="Times New Roman" w:hAnsi="Times New Roman" w:cs="Times New Roman"/>
                <w:color w:val="auto"/>
              </w:rPr>
            </w:pPr>
          </w:p>
          <w:p>
            <w:pPr>
              <w:pStyle w:val="6"/>
              <w:ind w:firstLine="482"/>
              <w:outlineLvl w:val="2"/>
              <w:rPr>
                <w:rFonts w:cs="Times New Roman"/>
                <w:color w:val="auto"/>
              </w:rPr>
            </w:pPr>
          </w:p>
          <w:p>
            <w:pPr>
              <w:spacing w:line="240" w:lineRule="auto"/>
              <w:jc w:val="center"/>
              <w:rPr>
                <w:rFonts w:ascii="Times New Roman" w:hAnsi="Times New Roman" w:cs="Times New Roman"/>
                <w:color w:val="auto"/>
              </w:rPr>
            </w:pPr>
            <w:r>
              <w:rPr>
                <w:rFonts w:ascii="Times New Roman" w:hAnsi="Times New Roman" w:cs="Times New Roman"/>
                <w:b/>
                <w:color w:val="auto"/>
                <w:spacing w:val="6"/>
              </w:rPr>
              <w:t>图1-2  酸菜调料包生产工艺流程</w:t>
            </w:r>
          </w:p>
          <w:p>
            <w:pPr>
              <w:pStyle w:val="2"/>
              <w:rPr>
                <w:color w:val="auto"/>
              </w:rPr>
            </w:pPr>
          </w:p>
          <w:p>
            <w:pPr>
              <w:spacing w:line="240" w:lineRule="auto"/>
              <w:ind w:firstLine="480" w:firstLineChars="200"/>
              <w:rPr>
                <w:rFonts w:ascii="Times New Roman" w:hAnsi="Times New Roman" w:cs="Times New Roman"/>
                <w:color w:val="auto"/>
              </w:rPr>
            </w:pPr>
            <w:r>
              <w:rPr>
                <w:rFonts w:ascii="Times New Roman" w:hAnsi="Times New Roman" w:cs="Times New Roman"/>
                <w:color w:val="auto"/>
              </w:rPr>
              <w:t>方便面生产工艺流程及产污环节如图：</w:t>
            </w:r>
          </w:p>
          <w:p>
            <w:pPr>
              <w:rPr>
                <w:rFonts w:ascii="Times New Roman" w:hAnsi="Times New Roman" w:cs="Times New Roman"/>
                <w:color w:val="auto"/>
              </w:rPr>
            </w:pPr>
            <w:r>
              <w:rPr>
                <w:rFonts w:ascii="Times New Roman" w:hAnsi="Times New Roman" w:cs="Times New Roman"/>
                <w:color w:val="auto"/>
              </w:rPr>
              <w:drawing>
                <wp:anchor distT="0" distB="0" distL="0" distR="0" simplePos="0" relativeHeight="251656192" behindDoc="0" locked="0" layoutInCell="1" allowOverlap="1">
                  <wp:simplePos x="0" y="0"/>
                  <wp:positionH relativeFrom="margin">
                    <wp:posOffset>418465</wp:posOffset>
                  </wp:positionH>
                  <wp:positionV relativeFrom="paragraph">
                    <wp:posOffset>139700</wp:posOffset>
                  </wp:positionV>
                  <wp:extent cx="5039995" cy="2933065"/>
                  <wp:effectExtent l="0" t="0" r="8255" b="635"/>
                  <wp:wrapNone/>
                  <wp:docPr id="60" name="图片 60"/>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rrowheads="1"/>
                          </pic:cNvPicPr>
                        </pic:nvPicPr>
                        <pic:blipFill>
                          <a:blip r:embed="rId8"/>
                          <a:srcRect/>
                          <a:stretch>
                            <a:fillRect/>
                          </a:stretch>
                        </pic:blipFill>
                        <pic:spPr>
                          <a:xfrm>
                            <a:off x="0" y="0"/>
                            <a:ext cx="5039995" cy="2933065"/>
                          </a:xfrm>
                          <a:prstGeom prst="rect">
                            <a:avLst/>
                          </a:prstGeom>
                          <a:noFill/>
                          <a:ln w="9525">
                            <a:noFill/>
                            <a:miter lim="800000"/>
                            <a:headEnd/>
                            <a:tailEnd/>
                          </a:ln>
                        </pic:spPr>
                      </pic:pic>
                    </a:graphicData>
                  </a:graphic>
                </wp:anchor>
              </w:drawing>
            </w:r>
          </w:p>
          <w:p>
            <w:pPr>
              <w:rPr>
                <w:rFonts w:ascii="Times New Roman" w:hAnsi="Times New Roman" w:cs="Times New Roman"/>
                <w:color w:val="auto"/>
              </w:rPr>
            </w:pPr>
          </w:p>
          <w:p>
            <w:pPr>
              <w:rPr>
                <w:rFonts w:ascii="Times New Roman" w:hAnsi="Times New Roman" w:cs="Times New Roman"/>
                <w:color w:val="auto"/>
              </w:rPr>
            </w:pPr>
          </w:p>
          <w:p>
            <w:pPr>
              <w:pStyle w:val="6"/>
              <w:ind w:firstLine="482"/>
              <w:outlineLvl w:val="2"/>
              <w:rPr>
                <w:rFonts w:cs="Times New Roman"/>
                <w:color w:val="auto"/>
              </w:rPr>
            </w:pPr>
          </w:p>
          <w:p>
            <w:pPr>
              <w:rPr>
                <w:rFonts w:ascii="Times New Roman" w:hAnsi="Times New Roman" w:cs="Times New Roman"/>
                <w:color w:val="auto"/>
              </w:rPr>
            </w:pPr>
          </w:p>
          <w:p>
            <w:pPr>
              <w:rPr>
                <w:rFonts w:ascii="Times New Roman" w:hAnsi="Times New Roman" w:cs="Times New Roman"/>
                <w:color w:val="auto"/>
              </w:rPr>
            </w:pPr>
          </w:p>
          <w:p>
            <w:pPr>
              <w:pStyle w:val="2"/>
              <w:rPr>
                <w:rFonts w:ascii="Times New Roman" w:hAnsi="Times New Roman" w:cs="Times New Roman"/>
                <w:color w:val="auto"/>
              </w:rPr>
            </w:pPr>
          </w:p>
          <w:p>
            <w:pPr>
              <w:jc w:val="center"/>
              <w:rPr>
                <w:rFonts w:ascii="Times New Roman" w:hAnsi="Times New Roman" w:cs="Times New Roman"/>
                <w:b/>
                <w:color w:val="auto"/>
                <w:spacing w:val="6"/>
              </w:rPr>
            </w:pPr>
          </w:p>
          <w:p>
            <w:pPr>
              <w:jc w:val="center"/>
              <w:rPr>
                <w:rFonts w:ascii="Times New Roman" w:hAnsi="Times New Roman" w:cs="Times New Roman"/>
                <w:b/>
                <w:color w:val="auto"/>
                <w:spacing w:val="6"/>
              </w:rPr>
            </w:pPr>
          </w:p>
          <w:p>
            <w:pPr>
              <w:jc w:val="center"/>
              <w:rPr>
                <w:rFonts w:ascii="Times New Roman" w:hAnsi="Times New Roman" w:cs="Times New Roman"/>
                <w:b/>
                <w:color w:val="auto"/>
              </w:rPr>
            </w:pPr>
            <w:r>
              <w:rPr>
                <w:rFonts w:ascii="Times New Roman" w:hAnsi="Times New Roman" w:cs="Times New Roman"/>
                <w:b/>
                <w:color w:val="auto"/>
                <w:spacing w:val="6"/>
              </w:rPr>
              <w:t>图1-3  方便面生产工艺流程</w:t>
            </w:r>
          </w:p>
          <w:p>
            <w:pPr>
              <w:ind w:firstLine="482" w:firstLineChars="200"/>
              <w:rPr>
                <w:rFonts w:ascii="Times New Roman" w:hAnsi="Times New Roman" w:cs="Times New Roman"/>
                <w:b/>
                <w:color w:val="auto"/>
              </w:rPr>
            </w:pPr>
            <w:r>
              <w:rPr>
                <w:rFonts w:ascii="Times New Roman" w:hAnsi="Times New Roman" w:cs="Times New Roman"/>
                <w:b/>
                <w:color w:val="auto"/>
              </w:rPr>
              <w:t>3、与本项目有关的原有污染情况</w:t>
            </w:r>
          </w:p>
          <w:p>
            <w:pPr>
              <w:ind w:firstLine="480" w:firstLineChars="200"/>
              <w:rPr>
                <w:rFonts w:ascii="Times New Roman" w:hAnsi="Times New Roman" w:cs="Times New Roman"/>
                <w:bCs/>
                <w:color w:val="auto"/>
              </w:rPr>
            </w:pPr>
            <w:r>
              <w:rPr>
                <w:rFonts w:ascii="Times New Roman" w:hAnsi="Times New Roman" w:cs="Times New Roman"/>
                <w:bCs/>
                <w:color w:val="auto"/>
              </w:rPr>
              <w:t>与本项目有关的污染情况主要为原有污染物排放情况（数据来源于该公司《年产5亿包方便面调味包建设项目竣工环境保护验收》、《</w:t>
            </w:r>
            <w:r>
              <w:rPr>
                <w:rFonts w:ascii="Times New Roman" w:hAnsi="Times New Roman" w:cs="Times New Roman"/>
                <w:color w:val="auto"/>
              </w:rPr>
              <w:t>燃煤锅炉改天然气锅炉项目</w:t>
            </w:r>
            <w:r>
              <w:rPr>
                <w:rFonts w:ascii="Times New Roman" w:hAnsi="Times New Roman" w:cs="Times New Roman"/>
                <w:bCs/>
                <w:color w:val="auto"/>
              </w:rPr>
              <w:t>》和《白象食品股份有限公司湖南分公司常规检测报告》）。</w:t>
            </w:r>
          </w:p>
          <w:p>
            <w:pPr>
              <w:spacing w:line="360" w:lineRule="auto"/>
              <w:ind w:firstLine="480" w:firstLineChars="200"/>
              <w:rPr>
                <w:rFonts w:hint="default" w:ascii="Times New Roman" w:hAnsi="Times New Roman" w:cs="Times New Roman"/>
                <w:bCs/>
                <w:color w:val="auto"/>
              </w:rPr>
            </w:pPr>
            <w:r>
              <w:rPr>
                <w:rFonts w:hint="default" w:ascii="Times New Roman" w:hAnsi="Times New Roman" w:cs="Times New Roman"/>
                <w:bCs/>
                <w:color w:val="auto"/>
              </w:rPr>
              <w:t>3.1废气</w:t>
            </w:r>
          </w:p>
          <w:p>
            <w:pPr>
              <w:ind w:firstLine="480" w:firstLineChars="200"/>
              <w:rPr>
                <w:rFonts w:ascii="Times New Roman" w:hAnsi="Times New Roman" w:cs="Times New Roman"/>
                <w:bCs/>
                <w:color w:val="auto"/>
              </w:rPr>
            </w:pPr>
            <w:r>
              <w:rPr>
                <w:rFonts w:ascii="Times New Roman" w:hAnsi="Times New Roman" w:cs="Times New Roman"/>
                <w:bCs/>
                <w:color w:val="auto"/>
              </w:rPr>
              <w:t>（1）炒锅油烟</w:t>
            </w:r>
          </w:p>
          <w:p>
            <w:pPr>
              <w:spacing w:line="360" w:lineRule="auto"/>
              <w:ind w:firstLine="480" w:firstLineChars="200"/>
              <w:rPr>
                <w:rFonts w:ascii="Times New Roman" w:hAnsi="Times New Roman" w:cs="Times New Roman"/>
                <w:bCs/>
                <w:color w:val="auto"/>
              </w:rPr>
            </w:pPr>
            <w:r>
              <w:rPr>
                <w:rFonts w:ascii="Times New Roman" w:hAnsi="Times New Roman" w:cs="Times New Roman"/>
                <w:bCs/>
                <w:color w:val="auto"/>
              </w:rPr>
              <w:t>车间内设置1台红油炒锅，燃料为液化气，在使用红油炒锅制作酸菜拌料的过程中产生油烟。建设单位设置1套上吸罩+抽风机（风量均值1000m</w:t>
            </w:r>
            <w:r>
              <w:rPr>
                <w:rFonts w:ascii="Times New Roman" w:hAnsi="Times New Roman" w:cs="Times New Roman"/>
                <w:bCs/>
                <w:color w:val="auto"/>
                <w:vertAlign w:val="superscript"/>
              </w:rPr>
              <w:t>3</w:t>
            </w:r>
            <w:r>
              <w:rPr>
                <w:rFonts w:ascii="Times New Roman" w:hAnsi="Times New Roman" w:cs="Times New Roman"/>
                <w:bCs/>
                <w:color w:val="auto"/>
              </w:rPr>
              <w:t>/h）。采用静电油烟净化机处理油烟废气。除油效率90～95％。油烟产生浓度约为20mg/m</w:t>
            </w:r>
            <w:r>
              <w:rPr>
                <w:rFonts w:ascii="Times New Roman" w:hAnsi="Times New Roman" w:cs="Times New Roman"/>
                <w:bCs/>
                <w:color w:val="auto"/>
                <w:vertAlign w:val="superscript"/>
              </w:rPr>
              <w:t>3</w:t>
            </w:r>
            <w:r>
              <w:rPr>
                <w:rFonts w:ascii="Times New Roman" w:hAnsi="Times New Roman" w:cs="Times New Roman"/>
                <w:bCs/>
                <w:color w:val="auto"/>
              </w:rPr>
              <w:t>。经安装静电除油烟净化设施后，油烟浓度约2mg/m</w:t>
            </w:r>
            <w:r>
              <w:rPr>
                <w:rFonts w:ascii="Times New Roman" w:hAnsi="Times New Roman" w:cs="Times New Roman"/>
                <w:bCs/>
                <w:color w:val="auto"/>
                <w:vertAlign w:val="superscript"/>
              </w:rPr>
              <w:t>3</w:t>
            </w:r>
            <w:r>
              <w:rPr>
                <w:rFonts w:ascii="Times New Roman" w:hAnsi="Times New Roman" w:cs="Times New Roman"/>
                <w:bCs/>
                <w:color w:val="auto"/>
              </w:rPr>
              <w:t>，油烟排放总量为14.4kg/a，通过10m高排气筒高空排放，可达到《饮食业油烟排放标准》（GB18483-2001）。</w:t>
            </w:r>
          </w:p>
          <w:p>
            <w:pPr>
              <w:ind w:firstLine="480" w:firstLineChars="200"/>
              <w:rPr>
                <w:rFonts w:ascii="Times New Roman" w:hAnsi="Times New Roman" w:cs="Times New Roman"/>
                <w:bCs/>
                <w:color w:val="auto"/>
              </w:rPr>
            </w:pPr>
            <w:r>
              <w:rPr>
                <w:rFonts w:ascii="Times New Roman" w:hAnsi="Times New Roman" w:cs="Times New Roman"/>
                <w:bCs/>
                <w:color w:val="auto"/>
              </w:rPr>
              <w:t xml:space="preserve">（2）食堂油烟 </w:t>
            </w:r>
          </w:p>
          <w:p>
            <w:pPr>
              <w:ind w:firstLine="480" w:firstLineChars="200"/>
              <w:rPr>
                <w:rFonts w:ascii="Times New Roman" w:hAnsi="Times New Roman" w:cs="Times New Roman"/>
                <w:bCs/>
                <w:color w:val="auto"/>
              </w:rPr>
            </w:pPr>
            <w:r>
              <w:rPr>
                <w:rFonts w:ascii="Times New Roman" w:hAnsi="Times New Roman" w:cs="Times New Roman"/>
                <w:color w:val="auto"/>
              </w:rPr>
              <w:t>现有厂区设职工食堂，将产生餐饮油烟。食堂燃料日消耗约120kg，食堂设置灶头2个，每天工作4h，每年300天，单灶头油烟风量2000m</w:t>
            </w:r>
            <w:r>
              <w:rPr>
                <w:rFonts w:ascii="Times New Roman" w:hAnsi="Times New Roman" w:cs="Times New Roman"/>
                <w:color w:val="auto"/>
                <w:vertAlign w:val="superscript"/>
              </w:rPr>
              <w:t>3</w:t>
            </w:r>
            <w:r>
              <w:rPr>
                <w:rFonts w:ascii="Times New Roman" w:hAnsi="Times New Roman" w:cs="Times New Roman"/>
                <w:color w:val="auto"/>
              </w:rPr>
              <w:t>/h，油烟浓度10mg/m</w:t>
            </w:r>
            <w:r>
              <w:rPr>
                <w:rFonts w:ascii="Times New Roman" w:hAnsi="Times New Roman" w:cs="Times New Roman"/>
                <w:color w:val="auto"/>
                <w:vertAlign w:val="superscript"/>
              </w:rPr>
              <w:t>3</w:t>
            </w:r>
            <w:r>
              <w:rPr>
                <w:rFonts w:ascii="Times New Roman" w:hAnsi="Times New Roman" w:cs="Times New Roman"/>
                <w:color w:val="auto"/>
              </w:rPr>
              <w:t>。经过静电除油烟机处理后排放油烟浓度2mg/m</w:t>
            </w:r>
            <w:r>
              <w:rPr>
                <w:rFonts w:ascii="Times New Roman" w:hAnsi="Times New Roman" w:cs="Times New Roman"/>
                <w:color w:val="auto"/>
                <w:vertAlign w:val="superscript"/>
              </w:rPr>
              <w:t>3</w:t>
            </w:r>
            <w:r>
              <w:rPr>
                <w:rFonts w:ascii="Times New Roman" w:hAnsi="Times New Roman" w:cs="Times New Roman"/>
                <w:color w:val="auto"/>
              </w:rPr>
              <w:t>，油烟排放总量4.8kg/a，集尘罩收集后，通过1根7米高排气筒排放，可达到《饮食业油烟排放标准（试行）》（GB18483-2001）。</w:t>
            </w:r>
          </w:p>
          <w:p>
            <w:pPr>
              <w:ind w:firstLine="480" w:firstLineChars="200"/>
              <w:rPr>
                <w:rFonts w:ascii="Times New Roman" w:hAnsi="Times New Roman" w:cs="Times New Roman"/>
                <w:bCs/>
                <w:color w:val="auto"/>
              </w:rPr>
            </w:pPr>
            <w:r>
              <w:rPr>
                <w:rFonts w:ascii="Times New Roman" w:hAnsi="Times New Roman" w:cs="Times New Roman"/>
                <w:bCs/>
                <w:color w:val="auto"/>
              </w:rPr>
              <w:t>（3）锅炉烟气</w:t>
            </w:r>
          </w:p>
          <w:p>
            <w:pPr>
              <w:ind w:firstLine="480" w:firstLineChars="200"/>
              <w:rPr>
                <w:rFonts w:ascii="Times New Roman" w:hAnsi="Times New Roman" w:cs="Times New Roman"/>
                <w:bCs/>
                <w:color w:val="auto"/>
              </w:rPr>
            </w:pPr>
            <w:r>
              <w:rPr>
                <w:rFonts w:ascii="Times New Roman" w:hAnsi="Times New Roman" w:cs="Times New Roman"/>
                <w:bCs/>
                <w:color w:val="auto"/>
              </w:rPr>
              <w:t>根据白象食品股份有限公司湖南分公司9-11月的常规检测报告可知，锅炉烟气监测数据如下表：</w:t>
            </w:r>
          </w:p>
          <w:p>
            <w:pPr>
              <w:jc w:val="center"/>
              <w:rPr>
                <w:rFonts w:ascii="Times New Roman" w:hAnsi="Times New Roman" w:cs="Times New Roman"/>
                <w:bCs/>
                <w:color w:val="auto"/>
              </w:rPr>
            </w:pPr>
            <w:r>
              <w:rPr>
                <w:rFonts w:ascii="Times New Roman" w:hAnsi="Times New Roman" w:cs="Times New Roman"/>
                <w:b/>
                <w:color w:val="auto"/>
              </w:rPr>
              <w:t>表1-9  锅炉烟气监测数据（9-11月）</w:t>
            </w:r>
          </w:p>
          <w:tbl>
            <w:tblPr>
              <w:tblStyle w:val="18"/>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58"/>
              <w:gridCol w:w="1260"/>
              <w:gridCol w:w="1500"/>
              <w:gridCol w:w="1140"/>
              <w:gridCol w:w="948"/>
              <w:gridCol w:w="948"/>
              <w:gridCol w:w="728"/>
              <w:gridCol w:w="128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1" w:hRule="atLeast"/>
                <w:jc w:val="center"/>
              </w:trPr>
              <w:tc>
                <w:tcPr>
                  <w:tcW w:w="1258" w:type="dxa"/>
                  <w:vMerge w:val="restart"/>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监测时间</w:t>
                  </w:r>
                </w:p>
              </w:tc>
              <w:tc>
                <w:tcPr>
                  <w:tcW w:w="1260" w:type="dxa"/>
                  <w:vMerge w:val="restart"/>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监测点位</w:t>
                  </w:r>
                </w:p>
              </w:tc>
              <w:tc>
                <w:tcPr>
                  <w:tcW w:w="1500" w:type="dxa"/>
                  <w:vMerge w:val="restart"/>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污染物项目</w:t>
                  </w:r>
                </w:p>
              </w:tc>
              <w:tc>
                <w:tcPr>
                  <w:tcW w:w="1140" w:type="dxa"/>
                  <w:vMerge w:val="restart"/>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单位</w:t>
                  </w:r>
                </w:p>
              </w:tc>
              <w:tc>
                <w:tcPr>
                  <w:tcW w:w="1896" w:type="dxa"/>
                  <w:gridSpan w:val="2"/>
                  <w:tcBorders>
                    <w:bottom w:val="single" w:color="auto" w:sz="4"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监测结果</w:t>
                  </w:r>
                </w:p>
              </w:tc>
              <w:tc>
                <w:tcPr>
                  <w:tcW w:w="728" w:type="dxa"/>
                  <w:vMerge w:val="restart"/>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标准</w:t>
                  </w:r>
                </w:p>
              </w:tc>
              <w:tc>
                <w:tcPr>
                  <w:tcW w:w="1288" w:type="dxa"/>
                  <w:vMerge w:val="restart"/>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标干流量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1" w:hRule="atLeast"/>
                <w:jc w:val="center"/>
              </w:trPr>
              <w:tc>
                <w:tcPr>
                  <w:tcW w:w="1258" w:type="dxa"/>
                  <w:vMerge w:val="continue"/>
                  <w:tcBorders>
                    <w:bottom w:val="single" w:color="auto" w:sz="12" w:space="0"/>
                  </w:tcBorders>
                  <w:vAlign w:val="center"/>
                </w:tcPr>
                <w:p>
                  <w:pPr>
                    <w:pStyle w:val="2"/>
                    <w:spacing w:after="0" w:line="240" w:lineRule="auto"/>
                    <w:jc w:val="center"/>
                    <w:rPr>
                      <w:color w:val="auto"/>
                    </w:rPr>
                  </w:pPr>
                </w:p>
              </w:tc>
              <w:tc>
                <w:tcPr>
                  <w:tcW w:w="1260" w:type="dxa"/>
                  <w:vMerge w:val="continue"/>
                  <w:tcBorders>
                    <w:bottom w:val="single" w:color="auto" w:sz="12" w:space="0"/>
                  </w:tcBorders>
                  <w:vAlign w:val="center"/>
                </w:tcPr>
                <w:p>
                  <w:pPr>
                    <w:pStyle w:val="2"/>
                    <w:spacing w:after="0" w:line="240" w:lineRule="auto"/>
                    <w:jc w:val="center"/>
                    <w:rPr>
                      <w:color w:val="auto"/>
                    </w:rPr>
                  </w:pPr>
                </w:p>
              </w:tc>
              <w:tc>
                <w:tcPr>
                  <w:tcW w:w="1500" w:type="dxa"/>
                  <w:vMerge w:val="continue"/>
                  <w:tcBorders>
                    <w:bottom w:val="single" w:color="auto" w:sz="12" w:space="0"/>
                  </w:tcBorders>
                  <w:vAlign w:val="center"/>
                </w:tcPr>
                <w:p>
                  <w:pPr>
                    <w:pStyle w:val="2"/>
                    <w:spacing w:after="0" w:line="240" w:lineRule="auto"/>
                    <w:jc w:val="center"/>
                    <w:rPr>
                      <w:color w:val="auto"/>
                    </w:rPr>
                  </w:pPr>
                </w:p>
              </w:tc>
              <w:tc>
                <w:tcPr>
                  <w:tcW w:w="1140" w:type="dxa"/>
                  <w:vMerge w:val="continue"/>
                  <w:tcBorders>
                    <w:bottom w:val="single" w:color="auto" w:sz="12" w:space="0"/>
                  </w:tcBorders>
                  <w:vAlign w:val="center"/>
                </w:tcPr>
                <w:p>
                  <w:pPr>
                    <w:pStyle w:val="2"/>
                    <w:spacing w:after="0" w:line="240" w:lineRule="auto"/>
                    <w:jc w:val="center"/>
                    <w:rPr>
                      <w:color w:val="auto"/>
                    </w:rPr>
                  </w:pPr>
                </w:p>
              </w:tc>
              <w:tc>
                <w:tcPr>
                  <w:tcW w:w="948" w:type="dxa"/>
                  <w:tcBorders>
                    <w:top w:val="single" w:color="auto" w:sz="4" w:space="0"/>
                    <w:bottom w:val="single" w:color="auto" w:sz="12" w:space="0"/>
                  </w:tcBorders>
                  <w:vAlign w:val="center"/>
                </w:tcPr>
                <w:p>
                  <w:pPr>
                    <w:pStyle w:val="2"/>
                    <w:spacing w:after="0" w:line="240" w:lineRule="auto"/>
                    <w:jc w:val="center"/>
                    <w:rPr>
                      <w:rFonts w:hint="default" w:ascii="Times New Roman" w:hAnsi="Times New Roman" w:cs="Times New Roman" w:eastAsiaTheme="minorEastAsia"/>
                      <w:b/>
                      <w:bCs/>
                      <w:color w:val="auto"/>
                      <w:sz w:val="21"/>
                      <w:szCs w:val="21"/>
                      <w:lang w:eastAsia="zh-CN"/>
                    </w:rPr>
                  </w:pPr>
                  <w:r>
                    <w:rPr>
                      <w:rFonts w:hint="default" w:ascii="Times New Roman" w:hAnsi="Times New Roman" w:cs="Times New Roman"/>
                      <w:b/>
                      <w:bCs/>
                      <w:color w:val="auto"/>
                      <w:sz w:val="21"/>
                      <w:szCs w:val="21"/>
                      <w:lang w:eastAsia="zh-CN"/>
                    </w:rPr>
                    <w:t>实测</w:t>
                  </w:r>
                </w:p>
              </w:tc>
              <w:tc>
                <w:tcPr>
                  <w:tcW w:w="948" w:type="dxa"/>
                  <w:tcBorders>
                    <w:top w:val="single" w:color="auto" w:sz="4" w:space="0"/>
                    <w:bottom w:val="single" w:color="auto" w:sz="12" w:space="0"/>
                  </w:tcBorders>
                  <w:vAlign w:val="center"/>
                </w:tcPr>
                <w:p>
                  <w:pPr>
                    <w:pStyle w:val="2"/>
                    <w:spacing w:after="0" w:line="240" w:lineRule="auto"/>
                    <w:jc w:val="center"/>
                    <w:rPr>
                      <w:rFonts w:hint="default" w:ascii="Times New Roman" w:hAnsi="Times New Roman" w:cs="Times New Roman" w:eastAsiaTheme="minorEastAsia"/>
                      <w:b/>
                      <w:bCs/>
                      <w:color w:val="auto"/>
                      <w:sz w:val="21"/>
                      <w:szCs w:val="21"/>
                      <w:lang w:eastAsia="zh-CN"/>
                    </w:rPr>
                  </w:pPr>
                  <w:r>
                    <w:rPr>
                      <w:rFonts w:hint="default" w:ascii="Times New Roman" w:hAnsi="Times New Roman" w:cs="Times New Roman"/>
                      <w:b/>
                      <w:bCs/>
                      <w:color w:val="auto"/>
                      <w:sz w:val="21"/>
                      <w:szCs w:val="21"/>
                      <w:lang w:eastAsia="zh-CN"/>
                    </w:rPr>
                    <w:t>折算</w:t>
                  </w:r>
                </w:p>
              </w:tc>
              <w:tc>
                <w:tcPr>
                  <w:tcW w:w="728" w:type="dxa"/>
                  <w:vMerge w:val="continue"/>
                  <w:tcBorders>
                    <w:bottom w:val="single" w:color="auto" w:sz="12" w:space="0"/>
                  </w:tcBorders>
                  <w:vAlign w:val="center"/>
                </w:tcPr>
                <w:p>
                  <w:pPr>
                    <w:pStyle w:val="2"/>
                    <w:spacing w:after="0" w:line="240" w:lineRule="auto"/>
                    <w:jc w:val="center"/>
                    <w:rPr>
                      <w:color w:val="auto"/>
                    </w:rPr>
                  </w:pPr>
                </w:p>
              </w:tc>
              <w:tc>
                <w:tcPr>
                  <w:tcW w:w="1288" w:type="dxa"/>
                  <w:vMerge w:val="continue"/>
                  <w:tcBorders>
                    <w:bottom w:val="single" w:color="auto" w:sz="12" w:space="0"/>
                  </w:tcBorders>
                  <w:vAlign w:val="center"/>
                </w:tcPr>
                <w:p>
                  <w:pPr>
                    <w:pStyle w:val="2"/>
                    <w:spacing w:after="0" w:line="240" w:lineRule="auto"/>
                    <w:jc w:val="center"/>
                    <w:rPr>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restar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2020.9.15</w:t>
                  </w:r>
                </w:p>
              </w:tc>
              <w:tc>
                <w:tcPr>
                  <w:tcW w:w="1260" w:type="dxa"/>
                  <w:vMerge w:val="restar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锅炉废气排放口</w:t>
                  </w:r>
                </w:p>
              </w:tc>
              <w:tc>
                <w:tcPr>
                  <w:tcW w:w="1500" w:type="dxa"/>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颗粒物</w:t>
                  </w:r>
                </w:p>
              </w:tc>
              <w:tc>
                <w:tcPr>
                  <w:tcW w:w="1140"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Cs w:val="21"/>
                    </w:rPr>
                    <w:t>mg/m</w:t>
                  </w:r>
                  <w:r>
                    <w:rPr>
                      <w:rFonts w:ascii="Times New Roman" w:hAnsi="Times New Roman" w:cs="Times New Roman"/>
                      <w:color w:val="auto"/>
                      <w:szCs w:val="21"/>
                      <w:vertAlign w:val="superscript"/>
                    </w:rPr>
                    <w:t>3</w:t>
                  </w:r>
                </w:p>
              </w:tc>
              <w:tc>
                <w:tcPr>
                  <w:tcW w:w="948" w:type="dxa"/>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5.3</w:t>
                  </w:r>
                </w:p>
              </w:tc>
              <w:tc>
                <w:tcPr>
                  <w:tcW w:w="948" w:type="dxa"/>
                  <w:tcBorders>
                    <w:top w:val="single" w:color="auto" w:sz="12" w:space="0"/>
                    <w:tl2br w:val="nil"/>
                    <w:tr2bl w:val="nil"/>
                  </w:tcBorders>
                  <w:vAlign w:val="center"/>
                </w:tcPr>
                <w:p>
                  <w:pPr>
                    <w:pStyle w:val="2"/>
                    <w:spacing w:after="0" w:line="24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6</w:t>
                  </w:r>
                </w:p>
              </w:tc>
              <w:tc>
                <w:tcPr>
                  <w:tcW w:w="728" w:type="dxa"/>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w:t>
                  </w:r>
                </w:p>
              </w:tc>
              <w:tc>
                <w:tcPr>
                  <w:tcW w:w="1288" w:type="dxa"/>
                  <w:vMerge w:val="restar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21893Nm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60"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500"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二氧化硫</w:t>
                  </w:r>
                </w:p>
              </w:tc>
              <w:tc>
                <w:tcPr>
                  <w:tcW w:w="1140"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Cs w:val="21"/>
                    </w:rPr>
                    <w:t>mg/m</w:t>
                  </w:r>
                  <w:r>
                    <w:rPr>
                      <w:rFonts w:ascii="Times New Roman" w:hAnsi="Times New Roman" w:cs="Times New Roman"/>
                      <w:color w:val="auto"/>
                      <w:szCs w:val="21"/>
                      <w:vertAlign w:val="superscript"/>
                    </w:rPr>
                    <w:t>3</w:t>
                  </w:r>
                </w:p>
              </w:tc>
              <w:tc>
                <w:tcPr>
                  <w:tcW w:w="94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7</w:t>
                  </w:r>
                </w:p>
              </w:tc>
              <w:tc>
                <w:tcPr>
                  <w:tcW w:w="948" w:type="dxa"/>
                  <w:tcBorders>
                    <w:tl2br w:val="nil"/>
                    <w:tr2bl w:val="nil"/>
                  </w:tcBorders>
                  <w:vAlign w:val="center"/>
                </w:tcPr>
                <w:p>
                  <w:pPr>
                    <w:pStyle w:val="2"/>
                    <w:spacing w:after="0" w:line="24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6</w:t>
                  </w:r>
                </w:p>
              </w:tc>
              <w:tc>
                <w:tcPr>
                  <w:tcW w:w="728" w:type="dxa"/>
                  <w:tcBorders>
                    <w:tl2br w:val="nil"/>
                    <w:tr2bl w:val="nil"/>
                  </w:tcBorders>
                  <w:vAlign w:val="center"/>
                </w:tcPr>
                <w:p>
                  <w:pPr>
                    <w:pStyle w:val="2"/>
                    <w:spacing w:after="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50</w:t>
                  </w:r>
                </w:p>
              </w:tc>
              <w:tc>
                <w:tcPr>
                  <w:tcW w:w="128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60"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500"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氮氧化物</w:t>
                  </w:r>
                </w:p>
              </w:tc>
              <w:tc>
                <w:tcPr>
                  <w:tcW w:w="1140"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Cs w:val="21"/>
                    </w:rPr>
                    <w:t>mg/m</w:t>
                  </w:r>
                  <w:r>
                    <w:rPr>
                      <w:rFonts w:ascii="Times New Roman" w:hAnsi="Times New Roman" w:cs="Times New Roman"/>
                      <w:color w:val="auto"/>
                      <w:szCs w:val="21"/>
                      <w:vertAlign w:val="superscript"/>
                    </w:rPr>
                    <w:t>3</w:t>
                  </w:r>
                </w:p>
              </w:tc>
              <w:tc>
                <w:tcPr>
                  <w:tcW w:w="94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24</w:t>
                  </w:r>
                </w:p>
              </w:tc>
              <w:tc>
                <w:tcPr>
                  <w:tcW w:w="948" w:type="dxa"/>
                  <w:tcBorders>
                    <w:tl2br w:val="nil"/>
                    <w:tr2bl w:val="nil"/>
                  </w:tcBorders>
                  <w:vAlign w:val="center"/>
                </w:tcPr>
                <w:p>
                  <w:pPr>
                    <w:pStyle w:val="2"/>
                    <w:spacing w:after="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24</w:t>
                  </w:r>
                </w:p>
              </w:tc>
              <w:tc>
                <w:tcPr>
                  <w:tcW w:w="72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150</w:t>
                  </w:r>
                </w:p>
              </w:tc>
              <w:tc>
                <w:tcPr>
                  <w:tcW w:w="128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2020.10.14</w:t>
                  </w:r>
                </w:p>
              </w:tc>
              <w:tc>
                <w:tcPr>
                  <w:tcW w:w="1260" w:type="dxa"/>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锅炉废气排放口</w:t>
                  </w:r>
                </w:p>
              </w:tc>
              <w:tc>
                <w:tcPr>
                  <w:tcW w:w="1500"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颗粒物</w:t>
                  </w:r>
                </w:p>
              </w:tc>
              <w:tc>
                <w:tcPr>
                  <w:tcW w:w="1140"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Cs w:val="21"/>
                    </w:rPr>
                    <w:t>mg/m</w:t>
                  </w:r>
                  <w:r>
                    <w:rPr>
                      <w:rFonts w:ascii="Times New Roman" w:hAnsi="Times New Roman" w:cs="Times New Roman"/>
                      <w:color w:val="auto"/>
                      <w:szCs w:val="21"/>
                      <w:vertAlign w:val="superscript"/>
                    </w:rPr>
                    <w:t>3</w:t>
                  </w:r>
                </w:p>
              </w:tc>
              <w:tc>
                <w:tcPr>
                  <w:tcW w:w="94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4.3</w:t>
                  </w:r>
                </w:p>
              </w:tc>
              <w:tc>
                <w:tcPr>
                  <w:tcW w:w="948" w:type="dxa"/>
                  <w:tcBorders>
                    <w:tl2br w:val="nil"/>
                    <w:tr2bl w:val="nil"/>
                  </w:tcBorders>
                  <w:vAlign w:val="center"/>
                </w:tcPr>
                <w:p>
                  <w:pPr>
                    <w:pStyle w:val="2"/>
                    <w:spacing w:after="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5</w:t>
                  </w:r>
                </w:p>
              </w:tc>
              <w:tc>
                <w:tcPr>
                  <w:tcW w:w="72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w:t>
                  </w:r>
                </w:p>
              </w:tc>
              <w:tc>
                <w:tcPr>
                  <w:tcW w:w="1288" w:type="dxa"/>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22934Nm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60"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500"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二氧化硫</w:t>
                  </w:r>
                </w:p>
              </w:tc>
              <w:tc>
                <w:tcPr>
                  <w:tcW w:w="1140"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Cs w:val="21"/>
                    </w:rPr>
                    <w:t>mg/m</w:t>
                  </w:r>
                  <w:r>
                    <w:rPr>
                      <w:rFonts w:ascii="Times New Roman" w:hAnsi="Times New Roman" w:cs="Times New Roman"/>
                      <w:color w:val="auto"/>
                      <w:szCs w:val="21"/>
                      <w:vertAlign w:val="superscript"/>
                    </w:rPr>
                    <w:t>3</w:t>
                  </w:r>
                </w:p>
              </w:tc>
              <w:tc>
                <w:tcPr>
                  <w:tcW w:w="94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8</w:t>
                  </w:r>
                </w:p>
              </w:tc>
              <w:tc>
                <w:tcPr>
                  <w:tcW w:w="948" w:type="dxa"/>
                  <w:tcBorders>
                    <w:tl2br w:val="nil"/>
                    <w:tr2bl w:val="nil"/>
                  </w:tcBorders>
                  <w:vAlign w:val="center"/>
                </w:tcPr>
                <w:p>
                  <w:pPr>
                    <w:pStyle w:val="2"/>
                    <w:spacing w:after="0" w:line="24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w:t>
                  </w:r>
                </w:p>
              </w:tc>
              <w:tc>
                <w:tcPr>
                  <w:tcW w:w="728" w:type="dxa"/>
                  <w:tcBorders>
                    <w:tl2br w:val="nil"/>
                    <w:tr2bl w:val="nil"/>
                  </w:tcBorders>
                  <w:vAlign w:val="center"/>
                </w:tcPr>
                <w:p>
                  <w:pPr>
                    <w:pStyle w:val="2"/>
                    <w:spacing w:after="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50</w:t>
                  </w:r>
                </w:p>
              </w:tc>
              <w:tc>
                <w:tcPr>
                  <w:tcW w:w="128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60"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500"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氮氧化物</w:t>
                  </w:r>
                </w:p>
              </w:tc>
              <w:tc>
                <w:tcPr>
                  <w:tcW w:w="1140"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Cs w:val="21"/>
                    </w:rPr>
                    <w:t>mg/m</w:t>
                  </w:r>
                  <w:r>
                    <w:rPr>
                      <w:rFonts w:ascii="Times New Roman" w:hAnsi="Times New Roman" w:cs="Times New Roman"/>
                      <w:color w:val="auto"/>
                      <w:szCs w:val="21"/>
                      <w:vertAlign w:val="superscript"/>
                    </w:rPr>
                    <w:t>3</w:t>
                  </w:r>
                </w:p>
              </w:tc>
              <w:tc>
                <w:tcPr>
                  <w:tcW w:w="94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24</w:t>
                  </w:r>
                </w:p>
              </w:tc>
              <w:tc>
                <w:tcPr>
                  <w:tcW w:w="948" w:type="dxa"/>
                  <w:tcBorders>
                    <w:tl2br w:val="nil"/>
                    <w:tr2bl w:val="nil"/>
                  </w:tcBorders>
                  <w:vAlign w:val="center"/>
                </w:tcPr>
                <w:p>
                  <w:pPr>
                    <w:pStyle w:val="2"/>
                    <w:spacing w:after="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27</w:t>
                  </w:r>
                </w:p>
              </w:tc>
              <w:tc>
                <w:tcPr>
                  <w:tcW w:w="72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150</w:t>
                  </w:r>
                </w:p>
              </w:tc>
              <w:tc>
                <w:tcPr>
                  <w:tcW w:w="128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2020.11.09</w:t>
                  </w:r>
                </w:p>
              </w:tc>
              <w:tc>
                <w:tcPr>
                  <w:tcW w:w="1260" w:type="dxa"/>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锅炉废气排放口</w:t>
                  </w:r>
                </w:p>
              </w:tc>
              <w:tc>
                <w:tcPr>
                  <w:tcW w:w="1500"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颗粒物</w:t>
                  </w:r>
                </w:p>
              </w:tc>
              <w:tc>
                <w:tcPr>
                  <w:tcW w:w="1140"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Cs w:val="21"/>
                    </w:rPr>
                    <w:t>mg/m</w:t>
                  </w:r>
                  <w:r>
                    <w:rPr>
                      <w:rFonts w:ascii="Times New Roman" w:hAnsi="Times New Roman" w:cs="Times New Roman"/>
                      <w:color w:val="auto"/>
                      <w:szCs w:val="21"/>
                      <w:vertAlign w:val="superscript"/>
                    </w:rPr>
                    <w:t>3</w:t>
                  </w:r>
                </w:p>
              </w:tc>
              <w:tc>
                <w:tcPr>
                  <w:tcW w:w="94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4.8</w:t>
                  </w:r>
                </w:p>
              </w:tc>
              <w:tc>
                <w:tcPr>
                  <w:tcW w:w="948" w:type="dxa"/>
                  <w:tcBorders>
                    <w:tl2br w:val="nil"/>
                    <w:tr2bl w:val="nil"/>
                  </w:tcBorders>
                  <w:vAlign w:val="center"/>
                </w:tcPr>
                <w:p>
                  <w:pPr>
                    <w:pStyle w:val="2"/>
                    <w:spacing w:after="0" w:line="24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6</w:t>
                  </w:r>
                </w:p>
              </w:tc>
              <w:tc>
                <w:tcPr>
                  <w:tcW w:w="72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w:t>
                  </w:r>
                </w:p>
              </w:tc>
              <w:tc>
                <w:tcPr>
                  <w:tcW w:w="1288" w:type="dxa"/>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18114Nm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60"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500"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二氧化硫</w:t>
                  </w:r>
                </w:p>
              </w:tc>
              <w:tc>
                <w:tcPr>
                  <w:tcW w:w="1140"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Cs w:val="21"/>
                    </w:rPr>
                    <w:t>mg/m</w:t>
                  </w:r>
                  <w:r>
                    <w:rPr>
                      <w:rFonts w:ascii="Times New Roman" w:hAnsi="Times New Roman" w:cs="Times New Roman"/>
                      <w:color w:val="auto"/>
                      <w:szCs w:val="21"/>
                      <w:vertAlign w:val="superscript"/>
                    </w:rPr>
                    <w:t>3</w:t>
                  </w:r>
                </w:p>
              </w:tc>
              <w:tc>
                <w:tcPr>
                  <w:tcW w:w="94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w:t>
                  </w:r>
                </w:p>
              </w:tc>
              <w:tc>
                <w:tcPr>
                  <w:tcW w:w="948" w:type="dxa"/>
                  <w:tcBorders>
                    <w:tl2br w:val="nil"/>
                    <w:tr2bl w:val="nil"/>
                  </w:tcBorders>
                  <w:vAlign w:val="center"/>
                </w:tcPr>
                <w:p>
                  <w:pPr>
                    <w:pStyle w:val="2"/>
                    <w:spacing w:after="0" w:line="24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7</w:t>
                  </w:r>
                </w:p>
              </w:tc>
              <w:tc>
                <w:tcPr>
                  <w:tcW w:w="728" w:type="dxa"/>
                  <w:tcBorders>
                    <w:tl2br w:val="nil"/>
                    <w:tr2bl w:val="nil"/>
                  </w:tcBorders>
                  <w:vAlign w:val="center"/>
                </w:tcPr>
                <w:p>
                  <w:pPr>
                    <w:pStyle w:val="2"/>
                    <w:spacing w:after="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50</w:t>
                  </w:r>
                </w:p>
              </w:tc>
              <w:tc>
                <w:tcPr>
                  <w:tcW w:w="128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60"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500"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氮氧化物</w:t>
                  </w:r>
                </w:p>
              </w:tc>
              <w:tc>
                <w:tcPr>
                  <w:tcW w:w="1140"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Cs w:val="21"/>
                    </w:rPr>
                    <w:t>mg/m</w:t>
                  </w:r>
                  <w:r>
                    <w:rPr>
                      <w:rFonts w:ascii="Times New Roman" w:hAnsi="Times New Roman" w:cs="Times New Roman"/>
                      <w:color w:val="auto"/>
                      <w:szCs w:val="21"/>
                      <w:vertAlign w:val="superscript"/>
                    </w:rPr>
                    <w:t>3</w:t>
                  </w:r>
                </w:p>
              </w:tc>
              <w:tc>
                <w:tcPr>
                  <w:tcW w:w="94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22</w:t>
                  </w:r>
                </w:p>
              </w:tc>
              <w:tc>
                <w:tcPr>
                  <w:tcW w:w="948" w:type="dxa"/>
                  <w:tcBorders>
                    <w:tl2br w:val="nil"/>
                    <w:tr2bl w:val="nil"/>
                  </w:tcBorders>
                  <w:vAlign w:val="center"/>
                </w:tcPr>
                <w:p>
                  <w:pPr>
                    <w:pStyle w:val="2"/>
                    <w:spacing w:after="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26</w:t>
                  </w:r>
                </w:p>
              </w:tc>
              <w:tc>
                <w:tcPr>
                  <w:tcW w:w="72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150</w:t>
                  </w:r>
                </w:p>
              </w:tc>
              <w:tc>
                <w:tcPr>
                  <w:tcW w:w="128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bl>
          <w:p>
            <w:pPr>
              <w:adjustRightInd w:val="0"/>
              <w:ind w:firstLine="480" w:firstLineChars="200"/>
              <w:rPr>
                <w:rFonts w:ascii="Times New Roman" w:hAnsi="Times New Roman" w:cs="Times New Roman"/>
                <w:color w:val="auto"/>
              </w:rPr>
            </w:pPr>
            <w:r>
              <w:rPr>
                <w:rFonts w:ascii="Times New Roman" w:hAnsi="Times New Roman" w:cs="Times New Roman"/>
                <w:color w:val="auto"/>
              </w:rPr>
              <w:t>现有锅炉年工作天数为300天，一天两班制（一班12小时），故年工作时间7200小时，根据监测报告数据计算可知，颗粒物的平均实测浓度为4.8mg/m</w:t>
            </w:r>
            <w:r>
              <w:rPr>
                <w:rFonts w:ascii="Times New Roman" w:hAnsi="Times New Roman" w:cs="Times New Roman"/>
                <w:color w:val="auto"/>
                <w:vertAlign w:val="superscript"/>
              </w:rPr>
              <w:t>3</w:t>
            </w:r>
            <w:r>
              <w:rPr>
                <w:rFonts w:ascii="Times New Roman" w:hAnsi="Times New Roman" w:cs="Times New Roman"/>
                <w:color w:val="auto"/>
              </w:rPr>
              <w:t>，标干流量为20980.3m</w:t>
            </w:r>
            <w:r>
              <w:rPr>
                <w:rFonts w:ascii="Times New Roman" w:hAnsi="Times New Roman" w:cs="Times New Roman"/>
                <w:color w:val="auto"/>
                <w:vertAlign w:val="superscript"/>
              </w:rPr>
              <w:t>3</w:t>
            </w:r>
            <w:r>
              <w:rPr>
                <w:rFonts w:ascii="Times New Roman" w:hAnsi="Times New Roman" w:cs="Times New Roman"/>
                <w:color w:val="auto"/>
              </w:rPr>
              <w:t>/h，故颗粒物的排放速率为0.1007kg/h；SO</w:t>
            </w:r>
            <w:r>
              <w:rPr>
                <w:rFonts w:ascii="Times New Roman" w:hAnsi="Times New Roman" w:cs="Times New Roman"/>
                <w:color w:val="auto"/>
                <w:vertAlign w:val="subscript"/>
              </w:rPr>
              <w:t>2</w:t>
            </w:r>
            <w:r>
              <w:rPr>
                <w:rFonts w:ascii="Times New Roman" w:hAnsi="Times New Roman" w:cs="Times New Roman"/>
                <w:color w:val="auto"/>
              </w:rPr>
              <w:t>的平均实测浓度为7mg/m</w:t>
            </w:r>
            <w:r>
              <w:rPr>
                <w:rFonts w:ascii="Times New Roman" w:hAnsi="Times New Roman" w:cs="Times New Roman"/>
                <w:color w:val="auto"/>
                <w:vertAlign w:val="superscript"/>
              </w:rPr>
              <w:t>3</w:t>
            </w:r>
            <w:r>
              <w:rPr>
                <w:rFonts w:ascii="Times New Roman" w:hAnsi="Times New Roman" w:cs="Times New Roman"/>
                <w:color w:val="auto"/>
              </w:rPr>
              <w:t>，标干流量为20980.3m</w:t>
            </w:r>
            <w:r>
              <w:rPr>
                <w:rFonts w:ascii="Times New Roman" w:hAnsi="Times New Roman" w:cs="Times New Roman"/>
                <w:color w:val="auto"/>
                <w:vertAlign w:val="superscript"/>
              </w:rPr>
              <w:t>3</w:t>
            </w:r>
            <w:r>
              <w:rPr>
                <w:rFonts w:ascii="Times New Roman" w:hAnsi="Times New Roman" w:cs="Times New Roman"/>
                <w:color w:val="auto"/>
              </w:rPr>
              <w:t>/h，故SO</w:t>
            </w:r>
            <w:r>
              <w:rPr>
                <w:rFonts w:ascii="Times New Roman" w:hAnsi="Times New Roman" w:cs="Times New Roman"/>
                <w:color w:val="auto"/>
                <w:vertAlign w:val="subscript"/>
              </w:rPr>
              <w:t>2</w:t>
            </w:r>
            <w:r>
              <w:rPr>
                <w:rFonts w:ascii="Times New Roman" w:hAnsi="Times New Roman" w:cs="Times New Roman"/>
                <w:color w:val="auto"/>
              </w:rPr>
              <w:t>的排放速率为0.1469kg/h；NOx的平均实测浓度为23.3mg/m</w:t>
            </w:r>
            <w:r>
              <w:rPr>
                <w:rFonts w:ascii="Times New Roman" w:hAnsi="Times New Roman" w:cs="Times New Roman"/>
                <w:color w:val="auto"/>
                <w:vertAlign w:val="superscript"/>
              </w:rPr>
              <w:t>3</w:t>
            </w:r>
            <w:r>
              <w:rPr>
                <w:rFonts w:ascii="Times New Roman" w:hAnsi="Times New Roman" w:cs="Times New Roman"/>
                <w:color w:val="auto"/>
              </w:rPr>
              <w:t>，标干流量为20980.3m</w:t>
            </w:r>
            <w:r>
              <w:rPr>
                <w:rFonts w:ascii="Times New Roman" w:hAnsi="Times New Roman" w:cs="Times New Roman"/>
                <w:color w:val="auto"/>
                <w:vertAlign w:val="superscript"/>
              </w:rPr>
              <w:t>3</w:t>
            </w:r>
            <w:r>
              <w:rPr>
                <w:rFonts w:ascii="Times New Roman" w:hAnsi="Times New Roman" w:cs="Times New Roman"/>
                <w:color w:val="auto"/>
              </w:rPr>
              <w:t>/h，故NOx的排放速率为0.4888kg/h</w:t>
            </w:r>
          </w:p>
          <w:p>
            <w:pPr>
              <w:adjustRightInd w:val="0"/>
              <w:ind w:firstLine="480" w:firstLineChars="200"/>
              <w:rPr>
                <w:rFonts w:ascii="Times New Roman" w:hAnsi="Times New Roman" w:cs="Times New Roman"/>
                <w:color w:val="auto"/>
              </w:rPr>
            </w:pPr>
            <w:r>
              <w:rPr>
                <w:rFonts w:ascii="Times New Roman" w:hAnsi="Times New Roman" w:cs="Times New Roman"/>
                <w:color w:val="auto"/>
              </w:rPr>
              <w:t>具体计算过程如下：</w:t>
            </w:r>
          </w:p>
          <w:p>
            <w:pPr>
              <w:adjustRightInd w:val="0"/>
              <w:ind w:firstLine="480" w:firstLineChars="200"/>
              <w:rPr>
                <w:rFonts w:ascii="Times New Roman" w:hAnsi="Times New Roman" w:cs="Times New Roman"/>
                <w:color w:val="auto"/>
              </w:rPr>
            </w:pPr>
            <w:r>
              <w:rPr>
                <w:rFonts w:ascii="Times New Roman" w:hAnsi="Times New Roman" w:cs="Times New Roman"/>
                <w:color w:val="auto"/>
              </w:rPr>
              <w:t>颗粒物：0.1007×7200=725.04kg/a=0.725t/a</w:t>
            </w:r>
          </w:p>
          <w:p>
            <w:pPr>
              <w:adjustRightInd w:val="0"/>
              <w:ind w:firstLine="480" w:firstLineChars="200"/>
              <w:rPr>
                <w:rFonts w:ascii="Times New Roman" w:hAnsi="Times New Roman" w:cs="Times New Roman"/>
                <w:color w:val="auto"/>
              </w:rPr>
            </w:pPr>
            <w:r>
              <w:rPr>
                <w:rFonts w:ascii="Times New Roman" w:hAnsi="Times New Roman" w:cs="Times New Roman"/>
                <w:color w:val="auto"/>
              </w:rPr>
              <w:t>SO</w:t>
            </w:r>
            <w:r>
              <w:rPr>
                <w:rFonts w:ascii="Times New Roman" w:hAnsi="Times New Roman" w:cs="Times New Roman"/>
                <w:color w:val="auto"/>
                <w:vertAlign w:val="subscript"/>
              </w:rPr>
              <w:t>2</w:t>
            </w:r>
            <w:r>
              <w:rPr>
                <w:rFonts w:ascii="Times New Roman" w:hAnsi="Times New Roman" w:cs="Times New Roman"/>
                <w:color w:val="auto"/>
              </w:rPr>
              <w:t>：0.1469×7200=192kg/a=1.</w:t>
            </w:r>
            <w:r>
              <w:rPr>
                <w:rFonts w:hint="eastAsia" w:ascii="Times New Roman" w:hAnsi="Times New Roman" w:cs="Times New Roman"/>
                <w:color w:val="auto"/>
                <w:lang w:val="en-US" w:eastAsia="zh-CN"/>
              </w:rPr>
              <w:t>057</w:t>
            </w:r>
            <w:r>
              <w:rPr>
                <w:rFonts w:ascii="Times New Roman" w:hAnsi="Times New Roman" w:cs="Times New Roman"/>
                <w:color w:val="auto"/>
              </w:rPr>
              <w:t>t/a</w:t>
            </w:r>
          </w:p>
          <w:p>
            <w:pPr>
              <w:adjustRightInd w:val="0"/>
              <w:ind w:firstLine="480" w:firstLineChars="200"/>
              <w:rPr>
                <w:rFonts w:ascii="Times New Roman" w:hAnsi="Times New Roman" w:cs="Times New Roman"/>
                <w:color w:val="auto"/>
              </w:rPr>
            </w:pPr>
            <w:r>
              <w:rPr>
                <w:rFonts w:ascii="Times New Roman" w:hAnsi="Times New Roman" w:cs="Times New Roman"/>
                <w:color w:val="auto"/>
              </w:rPr>
              <w:t>NOx：0.4888×2400=3519.36kg/a=3.519t/a</w:t>
            </w:r>
          </w:p>
          <w:p>
            <w:pPr>
              <w:ind w:firstLine="480" w:firstLineChars="200"/>
              <w:rPr>
                <w:rFonts w:ascii="Times New Roman" w:hAnsi="Times New Roman" w:cs="Times New Roman"/>
                <w:bCs/>
                <w:color w:val="auto"/>
              </w:rPr>
            </w:pPr>
            <w:r>
              <w:rPr>
                <w:rFonts w:ascii="Times New Roman" w:hAnsi="Times New Roman" w:cs="Times New Roman"/>
                <w:color w:val="auto"/>
              </w:rPr>
              <w:t>根据计算，颗粒物排放总量为0.725t/a，SO</w:t>
            </w:r>
            <w:r>
              <w:rPr>
                <w:rFonts w:ascii="Times New Roman" w:hAnsi="Times New Roman" w:cs="Times New Roman"/>
                <w:color w:val="auto"/>
                <w:vertAlign w:val="subscript"/>
              </w:rPr>
              <w:t>2</w:t>
            </w:r>
            <w:r>
              <w:rPr>
                <w:rFonts w:ascii="Times New Roman" w:hAnsi="Times New Roman" w:cs="Times New Roman"/>
                <w:color w:val="auto"/>
              </w:rPr>
              <w:t>排放总量为1.577t/a，NOx的排放总量为3.519t/a，满足排污权交易购买量：SO</w:t>
            </w:r>
            <w:r>
              <w:rPr>
                <w:rFonts w:ascii="Times New Roman" w:hAnsi="Times New Roman" w:cs="Times New Roman"/>
                <w:color w:val="auto"/>
                <w:vertAlign w:val="subscript"/>
              </w:rPr>
              <w:t>2</w:t>
            </w:r>
            <w:r>
              <w:rPr>
                <w:rFonts w:hint="eastAsia" w:ascii="宋体" w:hAnsi="宋体" w:eastAsia="宋体" w:cs="宋体"/>
                <w:color w:val="auto"/>
              </w:rPr>
              <w:t>≦</w:t>
            </w:r>
            <w:r>
              <w:rPr>
                <w:rFonts w:ascii="Times New Roman" w:hAnsi="Times New Roman" w:cs="Times New Roman"/>
                <w:color w:val="auto"/>
              </w:rPr>
              <w:t>3.5t/a、NO</w:t>
            </w:r>
            <w:r>
              <w:rPr>
                <w:rFonts w:ascii="Times New Roman" w:hAnsi="Times New Roman" w:cs="Times New Roman"/>
                <w:color w:val="auto"/>
                <w:vertAlign w:val="subscript"/>
              </w:rPr>
              <w:t>X</w:t>
            </w:r>
            <w:r>
              <w:rPr>
                <w:rFonts w:hint="eastAsia" w:ascii="宋体" w:hAnsi="宋体" w:eastAsia="宋体" w:cs="宋体"/>
                <w:color w:val="auto"/>
              </w:rPr>
              <w:t>≦</w:t>
            </w:r>
            <w:r>
              <w:rPr>
                <w:rFonts w:ascii="Times New Roman" w:hAnsi="Times New Roman" w:cs="Times New Roman"/>
                <w:color w:val="auto"/>
              </w:rPr>
              <w:t>16.5t/a</w:t>
            </w:r>
          </w:p>
          <w:p>
            <w:pPr>
              <w:ind w:firstLine="480" w:firstLineChars="200"/>
              <w:rPr>
                <w:rFonts w:ascii="Times New Roman" w:hAnsi="Times New Roman" w:cs="Times New Roman"/>
                <w:bCs/>
                <w:color w:val="auto"/>
              </w:rPr>
            </w:pPr>
            <w:r>
              <w:rPr>
                <w:rFonts w:ascii="Times New Roman" w:hAnsi="Times New Roman" w:cs="Times New Roman"/>
                <w:bCs/>
                <w:color w:val="auto"/>
              </w:rPr>
              <w:t>3.2废水</w:t>
            </w:r>
          </w:p>
          <w:p>
            <w:pPr>
              <w:spacing w:line="360" w:lineRule="auto"/>
              <w:ind w:firstLine="480" w:firstLineChars="200"/>
              <w:rPr>
                <w:rFonts w:ascii="Times New Roman" w:hAnsi="Times New Roman" w:cs="Times New Roman"/>
                <w:bCs/>
                <w:color w:val="auto"/>
              </w:rPr>
            </w:pPr>
            <w:r>
              <w:rPr>
                <w:rFonts w:ascii="Times New Roman" w:hAnsi="Times New Roman" w:cs="Times New Roman"/>
                <w:bCs/>
                <w:color w:val="auto"/>
              </w:rPr>
              <w:t>厂区废水产生主要包括生产废水及生活污水。生产废水主要来自生产过程中的少量蒸汽冷凝水、酸菜清洗废水、车间设备清洗、地面冲洗水、锅炉排污水及软水制备废水，目前厂区实际污水处理量为282.9t/d。其中生活污水经化粪池预处理，生产废水经隔油池预处理，然后进入厂区自建污水处理站</w:t>
            </w:r>
            <w:r>
              <w:rPr>
                <w:rFonts w:hint="eastAsia" w:ascii="Times New Roman" w:hAnsi="Times New Roman" w:cs="Times New Roman"/>
                <w:bCs/>
                <w:color w:val="auto"/>
              </w:rPr>
              <w:t>（6</w:t>
            </w:r>
            <w:r>
              <w:rPr>
                <w:rFonts w:ascii="Times New Roman" w:hAnsi="Times New Roman" w:cs="Times New Roman"/>
                <w:bCs/>
                <w:color w:val="auto"/>
              </w:rPr>
              <w:t>00m</w:t>
            </w:r>
            <w:r>
              <w:rPr>
                <w:rFonts w:ascii="Times New Roman" w:hAnsi="Times New Roman" w:cs="Times New Roman"/>
                <w:bCs/>
                <w:color w:val="auto"/>
                <w:vertAlign w:val="superscript"/>
              </w:rPr>
              <w:t>3</w:t>
            </w:r>
            <w:r>
              <w:rPr>
                <w:rFonts w:ascii="Times New Roman" w:hAnsi="Times New Roman" w:cs="Times New Roman"/>
                <w:bCs/>
                <w:color w:val="auto"/>
              </w:rPr>
              <w:t>/d</w:t>
            </w:r>
            <w:r>
              <w:rPr>
                <w:rFonts w:hint="eastAsia" w:ascii="Times New Roman" w:hAnsi="Times New Roman" w:cs="Times New Roman"/>
                <w:bCs/>
                <w:color w:val="auto"/>
              </w:rPr>
              <w:t>）</w:t>
            </w:r>
            <w:r>
              <w:rPr>
                <w:rFonts w:ascii="Times New Roman" w:hAnsi="Times New Roman" w:cs="Times New Roman"/>
                <w:bCs/>
                <w:color w:val="auto"/>
              </w:rPr>
              <w:t>处理后由市政管网排入罗家坡污水处理厂。根据白象食品股份有限公司湖南分公司9-11月的常规检测报告可知，废水排口监测数据如下表：</w:t>
            </w:r>
          </w:p>
          <w:p>
            <w:pPr>
              <w:jc w:val="center"/>
              <w:rPr>
                <w:rFonts w:ascii="Times New Roman" w:hAnsi="Times New Roman" w:cs="Times New Roman"/>
                <w:bCs/>
                <w:color w:val="auto"/>
              </w:rPr>
            </w:pPr>
            <w:r>
              <w:rPr>
                <w:rFonts w:ascii="Times New Roman" w:hAnsi="Times New Roman" w:cs="Times New Roman"/>
                <w:b/>
                <w:color w:val="auto"/>
              </w:rPr>
              <w:t>表1-10  废水排口监测数据（9-11月）</w:t>
            </w:r>
          </w:p>
          <w:tbl>
            <w:tblPr>
              <w:tblStyle w:val="18"/>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58"/>
              <w:gridCol w:w="831"/>
              <w:gridCol w:w="1843"/>
              <w:gridCol w:w="992"/>
              <w:gridCol w:w="1134"/>
              <w:gridCol w:w="1724"/>
              <w:gridCol w:w="128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监测时间</w:t>
                  </w:r>
                </w:p>
              </w:tc>
              <w:tc>
                <w:tcPr>
                  <w:tcW w:w="831" w:type="dxa"/>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监测点位</w:t>
                  </w:r>
                </w:p>
              </w:tc>
              <w:tc>
                <w:tcPr>
                  <w:tcW w:w="1843" w:type="dxa"/>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污染物项目</w:t>
                  </w:r>
                </w:p>
              </w:tc>
              <w:tc>
                <w:tcPr>
                  <w:tcW w:w="992" w:type="dxa"/>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单位</w:t>
                  </w:r>
                </w:p>
              </w:tc>
              <w:tc>
                <w:tcPr>
                  <w:tcW w:w="1134" w:type="dxa"/>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监测结果（实测）</w:t>
                  </w:r>
                </w:p>
              </w:tc>
              <w:tc>
                <w:tcPr>
                  <w:tcW w:w="1724" w:type="dxa"/>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罗家坡污水处理厂</w:t>
                  </w:r>
                  <w:r>
                    <w:rPr>
                      <w:rFonts w:ascii="Times New Roman" w:hAnsi="Times New Roman" w:cs="Times New Roman"/>
                      <w:b/>
                      <w:bCs/>
                      <w:color w:val="auto"/>
                      <w:sz w:val="21"/>
                      <w:szCs w:val="21"/>
                    </w:rPr>
                    <w:t>进水标准</w:t>
                  </w:r>
                </w:p>
              </w:tc>
              <w:tc>
                <w:tcPr>
                  <w:tcW w:w="1288" w:type="dxa"/>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（出水）一级A标准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restar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2020.9.15</w:t>
                  </w:r>
                </w:p>
              </w:tc>
              <w:tc>
                <w:tcPr>
                  <w:tcW w:w="831" w:type="dxa"/>
                  <w:vMerge w:val="restar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废水总排口</w:t>
                  </w:r>
                </w:p>
              </w:tc>
              <w:tc>
                <w:tcPr>
                  <w:tcW w:w="1843"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pH</w:t>
                  </w:r>
                </w:p>
              </w:tc>
              <w:tc>
                <w:tcPr>
                  <w:tcW w:w="992"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eastAsia="宋体" w:cs="Times New Roman"/>
                      <w:color w:val="auto"/>
                      <w:sz w:val="21"/>
                      <w:szCs w:val="21"/>
                    </w:rPr>
                    <w:t>无量纲</w:t>
                  </w:r>
                </w:p>
              </w:tc>
              <w:tc>
                <w:tcPr>
                  <w:tcW w:w="1134"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7.53</w:t>
                  </w:r>
                </w:p>
              </w:tc>
              <w:tc>
                <w:tcPr>
                  <w:tcW w:w="1724" w:type="dxa"/>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6-9</w:t>
                  </w:r>
                </w:p>
              </w:tc>
              <w:tc>
                <w:tcPr>
                  <w:tcW w:w="1288" w:type="dxa"/>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悬浮物</w:t>
                  </w:r>
                </w:p>
              </w:tc>
              <w:tc>
                <w:tcPr>
                  <w:tcW w:w="992" w:type="dxa"/>
                  <w:tcBorders>
                    <w:top w:val="single" w:color="auto" w:sz="12" w:space="0"/>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79</w:t>
                  </w:r>
                </w:p>
              </w:tc>
              <w:tc>
                <w:tcPr>
                  <w:tcW w:w="1724" w:type="dxa"/>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210</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氨氮</w:t>
                  </w:r>
                </w:p>
              </w:tc>
              <w:tc>
                <w:tcPr>
                  <w:tcW w:w="992" w:type="dxa"/>
                  <w:tcBorders>
                    <w:top w:val="single" w:color="auto" w:sz="12" w:space="0"/>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0.856</w:t>
                  </w:r>
                </w:p>
              </w:tc>
              <w:tc>
                <w:tcPr>
                  <w:tcW w:w="1724" w:type="dxa"/>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25</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化学需氧量</w:t>
                  </w:r>
                </w:p>
              </w:tc>
              <w:tc>
                <w:tcPr>
                  <w:tcW w:w="992" w:type="dxa"/>
                  <w:tcBorders>
                    <w:top w:val="single" w:color="auto" w:sz="12" w:space="0"/>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36</w:t>
                  </w:r>
                </w:p>
              </w:tc>
              <w:tc>
                <w:tcPr>
                  <w:tcW w:w="1724" w:type="dxa"/>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260</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五日生化需氧量</w:t>
                  </w:r>
                </w:p>
              </w:tc>
              <w:tc>
                <w:tcPr>
                  <w:tcW w:w="992" w:type="dxa"/>
                  <w:tcBorders>
                    <w:top w:val="single" w:color="auto" w:sz="12" w:space="0"/>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11.3</w:t>
                  </w:r>
                </w:p>
              </w:tc>
              <w:tc>
                <w:tcPr>
                  <w:tcW w:w="1724" w:type="dxa"/>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160</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动植物油</w:t>
                  </w:r>
                </w:p>
              </w:tc>
              <w:tc>
                <w:tcPr>
                  <w:tcW w:w="99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ND</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总磷</w:t>
                  </w:r>
                </w:p>
              </w:tc>
              <w:tc>
                <w:tcPr>
                  <w:tcW w:w="99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0.09</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2020.10.14</w:t>
                  </w:r>
                </w:p>
              </w:tc>
              <w:tc>
                <w:tcPr>
                  <w:tcW w:w="831" w:type="dxa"/>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废水总排口</w:t>
                  </w: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pH</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无量纲</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7.91</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6-9</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悬浮物</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108</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210</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氨氮</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1.16</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25</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化学需氧量</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87</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260</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五日生化需氧量</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160</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动植物油</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ND</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总磷</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0.03</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2020.11.09</w:t>
                  </w:r>
                </w:p>
              </w:tc>
              <w:tc>
                <w:tcPr>
                  <w:tcW w:w="831" w:type="dxa"/>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废水总排口</w:t>
                  </w: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pH</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无量纲</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7.85</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6-9</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悬浮物</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54</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210</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氨氮</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1.30</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25</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化学需氧量</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30</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260</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五日生化需氧量</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6.9</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160</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动植物油</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0.08</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58"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831" w:type="dxa"/>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84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总磷</w:t>
                  </w:r>
                </w:p>
              </w:tc>
              <w:tc>
                <w:tcPr>
                  <w:tcW w:w="992" w:type="dxa"/>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eastAsia="宋体" w:cs="Times New Roman"/>
                      <w:color w:val="auto"/>
                      <w:sz w:val="21"/>
                      <w:szCs w:val="21"/>
                    </w:rPr>
                    <w:t>mg/L</w:t>
                  </w:r>
                </w:p>
              </w:tc>
              <w:tc>
                <w:tcPr>
                  <w:tcW w:w="1134"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0.10</w:t>
                  </w:r>
                </w:p>
              </w:tc>
              <w:tc>
                <w:tcPr>
                  <w:tcW w:w="1724"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1288" w:type="dxa"/>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0.5</w:t>
                  </w:r>
                </w:p>
              </w:tc>
            </w:tr>
          </w:tbl>
          <w:p>
            <w:pPr>
              <w:adjustRightInd w:val="0"/>
              <w:ind w:firstLine="480" w:firstLineChars="200"/>
              <w:rPr>
                <w:rFonts w:ascii="Times New Roman" w:hAnsi="Times New Roman" w:cs="Times New Roman"/>
                <w:color w:val="auto"/>
              </w:rPr>
            </w:pPr>
            <w:r>
              <w:rPr>
                <w:rFonts w:ascii="Times New Roman" w:hAnsi="Times New Roman" w:cs="Times New Roman"/>
                <w:color w:val="auto"/>
              </w:rPr>
              <w:t>根据监测报告数据可知，污水处理厂总排口各项污染物排放浓度满足罗家坡污水处理厂进水标准</w:t>
            </w:r>
            <w:r>
              <w:rPr>
                <w:rFonts w:hint="eastAsia" w:ascii="Times New Roman" w:hAnsi="Times New Roman" w:cs="Times New Roman"/>
                <w:color w:val="auto"/>
                <w:lang w:eastAsia="zh-CN"/>
              </w:rPr>
              <w:t>及</w:t>
            </w:r>
            <w:r>
              <w:rPr>
                <w:rFonts w:hint="eastAsia"/>
                <w:color w:val="auto"/>
              </w:rPr>
              <w:t>《污水综合排放标准》</w:t>
            </w:r>
            <w:r>
              <w:rPr>
                <w:rFonts w:ascii="Times New Roman" w:hAnsi="Times New Roman" w:cs="Times New Roman"/>
                <w:color w:val="auto"/>
              </w:rPr>
              <w:t>（GB8978-1996）三</w:t>
            </w:r>
            <w:r>
              <w:rPr>
                <w:rFonts w:hint="eastAsia"/>
                <w:color w:val="auto"/>
              </w:rPr>
              <w:t>级排放标准要求</w:t>
            </w:r>
            <w:r>
              <w:rPr>
                <w:rFonts w:ascii="Times New Roman" w:hAnsi="Times New Roman" w:cs="Times New Roman"/>
                <w:color w:val="auto"/>
              </w:rPr>
              <w:t>，目前，厂区废水排放总量为</w:t>
            </w:r>
            <w:r>
              <w:rPr>
                <w:rFonts w:ascii="Times New Roman" w:hAnsi="Times New Roman" w:cs="Times New Roman"/>
                <w:bCs/>
                <w:color w:val="auto"/>
              </w:rPr>
              <w:t>282.9t/d，</w:t>
            </w:r>
            <w:r>
              <w:rPr>
                <w:rFonts w:ascii="Times New Roman" w:hAnsi="Times New Roman" w:cs="Times New Roman"/>
                <w:color w:val="auto"/>
              </w:rPr>
              <w:t>COD的平均实测浓度为51mg/L；NH</w:t>
            </w:r>
            <w:r>
              <w:rPr>
                <w:rFonts w:ascii="Times New Roman" w:hAnsi="Times New Roman" w:cs="Times New Roman"/>
                <w:color w:val="auto"/>
                <w:vertAlign w:val="subscript"/>
              </w:rPr>
              <w:t>3</w:t>
            </w:r>
            <w:r>
              <w:rPr>
                <w:rFonts w:ascii="Times New Roman" w:hAnsi="Times New Roman" w:cs="Times New Roman"/>
                <w:color w:val="auto"/>
              </w:rPr>
              <w:t>-N的平均实测浓度为1.105mg/L，罗家坡污水处理厂出水执行《城镇污水处理厂污染物排放标准》（GB18918-2008）的一级A标准，COD排放标准为50mg/L；NH</w:t>
            </w:r>
            <w:r>
              <w:rPr>
                <w:rFonts w:ascii="Times New Roman" w:hAnsi="Times New Roman" w:cs="Times New Roman"/>
                <w:color w:val="auto"/>
                <w:vertAlign w:val="subscript"/>
              </w:rPr>
              <w:t>3</w:t>
            </w:r>
            <w:r>
              <w:rPr>
                <w:rFonts w:ascii="Times New Roman" w:hAnsi="Times New Roman" w:cs="Times New Roman"/>
                <w:color w:val="auto"/>
              </w:rPr>
              <w:t>-N的排放标准为5mg/L，总量按《城镇污水处理厂污染物排放标准》（GB18918-2008）的一级A标准计算，具体计算过程如下：</w:t>
            </w:r>
          </w:p>
          <w:p>
            <w:pPr>
              <w:adjustRightInd w:val="0"/>
              <w:ind w:firstLine="480" w:firstLineChars="200"/>
              <w:rPr>
                <w:rFonts w:ascii="Times New Roman" w:hAnsi="Times New Roman" w:cs="Times New Roman"/>
                <w:color w:val="auto"/>
              </w:rPr>
            </w:pPr>
            <w:r>
              <w:rPr>
                <w:rFonts w:ascii="Times New Roman" w:hAnsi="Times New Roman" w:cs="Times New Roman"/>
                <w:color w:val="auto"/>
              </w:rPr>
              <w:t>COD：50×282.9×300×10</w:t>
            </w:r>
            <w:r>
              <w:rPr>
                <w:rFonts w:ascii="Times New Roman" w:hAnsi="Times New Roman" w:cs="Times New Roman"/>
                <w:color w:val="auto"/>
                <w:vertAlign w:val="superscript"/>
              </w:rPr>
              <w:t>-6</w:t>
            </w:r>
            <w:r>
              <w:rPr>
                <w:rFonts w:ascii="Times New Roman" w:hAnsi="Times New Roman" w:cs="Times New Roman"/>
                <w:color w:val="auto"/>
              </w:rPr>
              <w:t>=4.2435t/a</w:t>
            </w:r>
          </w:p>
          <w:p>
            <w:pPr>
              <w:adjustRightInd w:val="0"/>
              <w:ind w:firstLine="480" w:firstLineChars="200"/>
              <w:rPr>
                <w:rFonts w:ascii="Times New Roman" w:hAnsi="Times New Roman" w:cs="Times New Roman"/>
                <w:color w:val="auto"/>
              </w:rPr>
            </w:pPr>
            <w:r>
              <w:rPr>
                <w:rFonts w:ascii="Times New Roman" w:hAnsi="Times New Roman" w:cs="Times New Roman"/>
                <w:color w:val="auto"/>
              </w:rPr>
              <w:t>NH</w:t>
            </w:r>
            <w:r>
              <w:rPr>
                <w:rFonts w:ascii="Times New Roman" w:hAnsi="Times New Roman" w:cs="Times New Roman"/>
                <w:color w:val="auto"/>
                <w:vertAlign w:val="subscript"/>
              </w:rPr>
              <w:t>3</w:t>
            </w:r>
            <w:r>
              <w:rPr>
                <w:rFonts w:ascii="Times New Roman" w:hAnsi="Times New Roman" w:cs="Times New Roman"/>
                <w:color w:val="auto"/>
              </w:rPr>
              <w:t>-N：5×282.9×300×10</w:t>
            </w:r>
            <w:r>
              <w:rPr>
                <w:rFonts w:ascii="Times New Roman" w:hAnsi="Times New Roman" w:cs="Times New Roman"/>
                <w:color w:val="auto"/>
                <w:vertAlign w:val="superscript"/>
              </w:rPr>
              <w:t>-6</w:t>
            </w:r>
            <w:r>
              <w:rPr>
                <w:rFonts w:ascii="Times New Roman" w:hAnsi="Times New Roman" w:cs="Times New Roman"/>
                <w:color w:val="auto"/>
              </w:rPr>
              <w:t>=0.4244t/a</w:t>
            </w:r>
          </w:p>
          <w:p>
            <w:pPr>
              <w:ind w:firstLine="480" w:firstLineChars="200"/>
              <w:rPr>
                <w:rFonts w:ascii="Times New Roman" w:hAnsi="Times New Roman" w:cs="Times New Roman"/>
                <w:bCs/>
                <w:color w:val="auto"/>
              </w:rPr>
            </w:pPr>
            <w:r>
              <w:rPr>
                <w:rFonts w:ascii="Times New Roman" w:hAnsi="Times New Roman" w:cs="Times New Roman"/>
                <w:color w:val="auto"/>
              </w:rPr>
              <w:t>根据计算，COD排放总量为4.2435t/a，NH</w:t>
            </w:r>
            <w:r>
              <w:rPr>
                <w:rFonts w:ascii="Times New Roman" w:hAnsi="Times New Roman" w:cs="Times New Roman"/>
                <w:color w:val="auto"/>
                <w:vertAlign w:val="subscript"/>
              </w:rPr>
              <w:t>3</w:t>
            </w:r>
            <w:r>
              <w:rPr>
                <w:rFonts w:ascii="Times New Roman" w:hAnsi="Times New Roman" w:cs="Times New Roman"/>
                <w:color w:val="auto"/>
              </w:rPr>
              <w:t>-N排放总量为0.4244t/a，满足排污权交易购买量：COD</w:t>
            </w:r>
            <w:r>
              <w:rPr>
                <w:rFonts w:hint="eastAsia" w:ascii="宋体" w:hAnsi="宋体" w:eastAsia="宋体" w:cs="宋体"/>
                <w:color w:val="auto"/>
              </w:rPr>
              <w:t>≦</w:t>
            </w:r>
            <w:r>
              <w:rPr>
                <w:rFonts w:ascii="Times New Roman" w:hAnsi="Times New Roman" w:cs="Times New Roman"/>
                <w:color w:val="auto"/>
              </w:rPr>
              <w:t>23t/a、NH</w:t>
            </w:r>
            <w:r>
              <w:rPr>
                <w:rFonts w:ascii="Times New Roman" w:hAnsi="Times New Roman" w:cs="Times New Roman"/>
                <w:color w:val="auto"/>
                <w:vertAlign w:val="subscript"/>
              </w:rPr>
              <w:t>3</w:t>
            </w:r>
            <w:r>
              <w:rPr>
                <w:rFonts w:ascii="Times New Roman" w:hAnsi="Times New Roman" w:cs="Times New Roman"/>
                <w:color w:val="auto"/>
              </w:rPr>
              <w:t>-N</w:t>
            </w:r>
            <w:r>
              <w:rPr>
                <w:rFonts w:hint="eastAsia" w:ascii="宋体" w:hAnsi="宋体" w:eastAsia="宋体" w:cs="宋体"/>
                <w:color w:val="auto"/>
              </w:rPr>
              <w:t>≦</w:t>
            </w:r>
            <w:r>
              <w:rPr>
                <w:rFonts w:ascii="Times New Roman" w:hAnsi="Times New Roman" w:cs="Times New Roman"/>
                <w:color w:val="auto"/>
              </w:rPr>
              <w:t>1.5t/a</w:t>
            </w:r>
          </w:p>
          <w:p>
            <w:pPr>
              <w:ind w:firstLine="480" w:firstLineChars="200"/>
              <w:rPr>
                <w:rFonts w:ascii="Times New Roman" w:hAnsi="Times New Roman" w:cs="Times New Roman"/>
                <w:bCs/>
                <w:color w:val="auto"/>
              </w:rPr>
            </w:pPr>
            <w:r>
              <w:rPr>
                <w:rFonts w:ascii="Times New Roman" w:hAnsi="Times New Roman" w:cs="Times New Roman"/>
                <w:bCs/>
                <w:color w:val="auto"/>
              </w:rPr>
              <w:t>3.3固废</w:t>
            </w:r>
          </w:p>
          <w:p>
            <w:pPr>
              <w:ind w:firstLine="480" w:firstLineChars="200"/>
              <w:rPr>
                <w:rFonts w:ascii="Times New Roman" w:hAnsi="Times New Roman" w:cs="Times New Roman"/>
                <w:bCs/>
                <w:color w:val="auto"/>
              </w:rPr>
            </w:pPr>
            <w:r>
              <w:rPr>
                <w:rFonts w:ascii="Times New Roman" w:hAnsi="Times New Roman" w:cs="Times New Roman"/>
                <w:bCs/>
                <w:color w:val="auto"/>
              </w:rPr>
              <w:t>目前，厂区内产生的固体废物主要来源于员工生活垃圾、调味料车间产生的废酸菜、废植物油，具体见下表：</w:t>
            </w:r>
          </w:p>
          <w:p>
            <w:pPr>
              <w:spacing w:line="360" w:lineRule="auto"/>
              <w:jc w:val="center"/>
              <w:rPr>
                <w:rFonts w:ascii="Times New Roman" w:hAnsi="Times New Roman" w:cs="Times New Roman"/>
                <w:b/>
                <w:bCs/>
                <w:color w:val="auto"/>
                <w:lang w:val="de-DE"/>
              </w:rPr>
            </w:pPr>
            <w:r>
              <w:rPr>
                <w:rFonts w:ascii="Times New Roman" w:hAnsi="Times New Roman" w:cs="Times New Roman"/>
                <w:b/>
                <w:bCs/>
                <w:color w:val="auto"/>
                <w:lang w:val="de-DE"/>
              </w:rPr>
              <w:t>表</w:t>
            </w:r>
            <w:r>
              <w:rPr>
                <w:rFonts w:ascii="Times New Roman" w:hAnsi="Times New Roman" w:cs="Times New Roman"/>
                <w:b/>
                <w:bCs/>
                <w:color w:val="auto"/>
              </w:rPr>
              <w:t xml:space="preserve">1-11 </w:t>
            </w:r>
            <w:r>
              <w:rPr>
                <w:rFonts w:ascii="Times New Roman" w:hAnsi="Times New Roman" w:cs="Times New Roman"/>
                <w:b/>
                <w:bCs/>
                <w:color w:val="auto"/>
                <w:lang w:val="de-DE"/>
              </w:rPr>
              <w:t xml:space="preserve"> 厂区固体废物一览表</w:t>
            </w:r>
          </w:p>
          <w:tbl>
            <w:tblPr>
              <w:tblStyle w:val="17"/>
              <w:tblW w:w="5000"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3206"/>
              <w:gridCol w:w="1814"/>
              <w:gridCol w:w="1814"/>
              <w:gridCol w:w="223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91" w:hRule="atLeast"/>
                <w:jc w:val="center"/>
              </w:trPr>
              <w:tc>
                <w:tcPr>
                  <w:tcW w:w="1767" w:type="pct"/>
                  <w:tcBorders>
                    <w:bottom w:val="single" w:color="auto" w:sz="12" w:space="0"/>
                  </w:tcBorders>
                  <w:vAlign w:val="center"/>
                </w:tcPr>
                <w:p>
                  <w:pPr>
                    <w:autoSpaceDE w:val="0"/>
                    <w:autoSpaceDN w:val="0"/>
                    <w:spacing w:line="240" w:lineRule="auto"/>
                    <w:contextualSpacing/>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类别</w:t>
                  </w:r>
                </w:p>
              </w:tc>
              <w:tc>
                <w:tcPr>
                  <w:tcW w:w="1000" w:type="pct"/>
                  <w:tcBorders>
                    <w:bottom w:val="single" w:color="auto" w:sz="12" w:space="0"/>
                  </w:tcBorders>
                  <w:vAlign w:val="center"/>
                </w:tcPr>
                <w:p>
                  <w:pPr>
                    <w:autoSpaceDE w:val="0"/>
                    <w:autoSpaceDN w:val="0"/>
                    <w:spacing w:line="240" w:lineRule="auto"/>
                    <w:contextualSpacing/>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产生量</w:t>
                  </w:r>
                </w:p>
              </w:tc>
              <w:tc>
                <w:tcPr>
                  <w:tcW w:w="1000" w:type="pct"/>
                  <w:tcBorders>
                    <w:bottom w:val="single" w:color="auto" w:sz="12" w:space="0"/>
                  </w:tcBorders>
                  <w:vAlign w:val="center"/>
                </w:tcPr>
                <w:p>
                  <w:pPr>
                    <w:autoSpaceDE w:val="0"/>
                    <w:autoSpaceDN w:val="0"/>
                    <w:spacing w:line="240" w:lineRule="auto"/>
                    <w:contextualSpacing/>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排放量</w:t>
                  </w:r>
                </w:p>
              </w:tc>
              <w:tc>
                <w:tcPr>
                  <w:tcW w:w="1232" w:type="pct"/>
                  <w:tcBorders>
                    <w:bottom w:val="single" w:color="auto" w:sz="12" w:space="0"/>
                  </w:tcBorders>
                  <w:vAlign w:val="center"/>
                </w:tcPr>
                <w:p>
                  <w:pPr>
                    <w:autoSpaceDE w:val="0"/>
                    <w:autoSpaceDN w:val="0"/>
                    <w:spacing w:line="240" w:lineRule="auto"/>
                    <w:contextualSpacing/>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处置方式</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66" w:hRule="atLeast"/>
                <w:jc w:val="center"/>
              </w:trPr>
              <w:tc>
                <w:tcPr>
                  <w:tcW w:w="1767" w:type="pct"/>
                  <w:tcBorders>
                    <w:top w:val="single" w:color="auto" w:sz="12" w:space="0"/>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生活垃圾</w:t>
                  </w:r>
                </w:p>
              </w:tc>
              <w:tc>
                <w:tcPr>
                  <w:tcW w:w="1000" w:type="pct"/>
                  <w:tcBorders>
                    <w:top w:val="single" w:color="auto" w:sz="12" w:space="0"/>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1003.8t/a</w:t>
                  </w:r>
                </w:p>
              </w:tc>
              <w:tc>
                <w:tcPr>
                  <w:tcW w:w="1000" w:type="pct"/>
                  <w:tcBorders>
                    <w:top w:val="single" w:color="auto" w:sz="12" w:space="0"/>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1003.8t/a</w:t>
                  </w:r>
                </w:p>
              </w:tc>
              <w:tc>
                <w:tcPr>
                  <w:tcW w:w="1232" w:type="pct"/>
                  <w:tcBorders>
                    <w:top w:val="single" w:color="auto" w:sz="12" w:space="0"/>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环卫部门清运</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6" w:hRule="atLeast"/>
                <w:jc w:val="center"/>
              </w:trPr>
              <w:tc>
                <w:tcPr>
                  <w:tcW w:w="1767"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废酸菜</w:t>
                  </w:r>
                </w:p>
              </w:tc>
              <w:tc>
                <w:tcPr>
                  <w:tcW w:w="1000"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24t/a</w:t>
                  </w:r>
                </w:p>
              </w:tc>
              <w:tc>
                <w:tcPr>
                  <w:tcW w:w="1000"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24t/a</w:t>
                  </w:r>
                </w:p>
              </w:tc>
              <w:tc>
                <w:tcPr>
                  <w:tcW w:w="1232" w:type="pct"/>
                  <w:tcBorders>
                    <w:tl2br w:val="nil"/>
                    <w:tr2bl w:val="nil"/>
                  </w:tcBorders>
                  <w:vAlign w:val="center"/>
                </w:tcPr>
                <w:p>
                  <w:pPr>
                    <w:autoSpaceDE w:val="0"/>
                    <w:autoSpaceDN w:val="0"/>
                    <w:spacing w:line="240" w:lineRule="auto"/>
                    <w:contextualSpacing/>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卫生填埋</w:t>
                  </w:r>
                </w:p>
              </w:tc>
            </w:tr>
          </w:tbl>
          <w:p>
            <w:pPr>
              <w:ind w:firstLine="480" w:firstLineChars="200"/>
              <w:rPr>
                <w:rFonts w:ascii="Times New Roman" w:hAnsi="Times New Roman" w:cs="Times New Roman"/>
                <w:bCs/>
                <w:color w:val="auto"/>
              </w:rPr>
            </w:pPr>
            <w:r>
              <w:rPr>
                <w:rFonts w:ascii="Times New Roman" w:hAnsi="Times New Roman" w:cs="Times New Roman"/>
                <w:bCs/>
                <w:color w:val="auto"/>
              </w:rPr>
              <w:t>3.4噪声</w:t>
            </w:r>
          </w:p>
          <w:p>
            <w:pPr>
              <w:spacing w:line="360" w:lineRule="auto"/>
              <w:ind w:firstLine="480" w:firstLineChars="200"/>
              <w:rPr>
                <w:rFonts w:ascii="Times New Roman" w:hAnsi="Times New Roman" w:cs="Times New Roman"/>
                <w:bCs/>
                <w:color w:val="auto"/>
              </w:rPr>
            </w:pPr>
            <w:r>
              <w:rPr>
                <w:rFonts w:ascii="Times New Roman" w:hAnsi="Times New Roman" w:cs="Times New Roman"/>
                <w:bCs/>
                <w:color w:val="auto"/>
              </w:rPr>
              <w:t>厂区噪声主要来源于生产设备，如切菜机、烘干机、蒸煮机、拌料机和包装机等机械噪声</w:t>
            </w:r>
            <w:r>
              <w:rPr>
                <w:rFonts w:ascii="Times New Roman" w:hAnsi="Times New Roman" w:cs="Times New Roman"/>
                <w:color w:val="auto"/>
                <w:spacing w:val="6"/>
              </w:rPr>
              <w:t>，噪声一般在70~80dB（A）。</w:t>
            </w:r>
            <w:r>
              <w:rPr>
                <w:rFonts w:ascii="Times New Roman" w:hAnsi="Times New Roman" w:cs="Times New Roman"/>
                <w:bCs/>
                <w:color w:val="auto"/>
              </w:rPr>
              <w:t>根据白象食品股份有限公司湖南分公司9-11月的常规检测报告可知，厂界噪声监测数据如下表：</w:t>
            </w:r>
          </w:p>
          <w:p>
            <w:pPr>
              <w:jc w:val="center"/>
              <w:rPr>
                <w:rFonts w:ascii="Times New Roman" w:hAnsi="Times New Roman" w:cs="Times New Roman"/>
                <w:bCs/>
                <w:color w:val="auto"/>
              </w:rPr>
            </w:pPr>
            <w:r>
              <w:rPr>
                <w:rFonts w:ascii="Times New Roman" w:hAnsi="Times New Roman" w:cs="Times New Roman"/>
                <w:b/>
                <w:color w:val="auto"/>
              </w:rPr>
              <w:t>表1-12  厂界噪声监测数据（9-11月）</w:t>
            </w:r>
          </w:p>
          <w:tbl>
            <w:tblPr>
              <w:tblStyle w:val="18"/>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958"/>
              <w:gridCol w:w="1972"/>
              <w:gridCol w:w="887"/>
              <w:gridCol w:w="1068"/>
              <w:gridCol w:w="1074"/>
              <w:gridCol w:w="194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640" w:type="pct"/>
                  <w:vMerge w:val="restart"/>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监测时间</w:t>
                  </w:r>
                </w:p>
              </w:tc>
              <w:tc>
                <w:tcPr>
                  <w:tcW w:w="528" w:type="pct"/>
                  <w:vMerge w:val="restart"/>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监测点位</w:t>
                  </w:r>
                </w:p>
              </w:tc>
              <w:tc>
                <w:tcPr>
                  <w:tcW w:w="1087" w:type="pct"/>
                  <w:vMerge w:val="restart"/>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采样位置</w:t>
                  </w:r>
                </w:p>
              </w:tc>
              <w:tc>
                <w:tcPr>
                  <w:tcW w:w="489" w:type="pct"/>
                  <w:vMerge w:val="restart"/>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污染物项目</w:t>
                  </w:r>
                </w:p>
              </w:tc>
              <w:tc>
                <w:tcPr>
                  <w:tcW w:w="1181" w:type="pct"/>
                  <w:gridSpan w:val="2"/>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监测结果单位（dB）</w:t>
                  </w:r>
                </w:p>
              </w:tc>
              <w:tc>
                <w:tcPr>
                  <w:tcW w:w="1072" w:type="pct"/>
                  <w:vMerge w:val="restart"/>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640" w:type="pct"/>
                  <w:vMerge w:val="continue"/>
                  <w:tcBorders>
                    <w:bottom w:val="single" w:color="auto" w:sz="12" w:space="0"/>
                  </w:tcBorders>
                  <w:vAlign w:val="center"/>
                </w:tcPr>
                <w:p>
                  <w:pPr>
                    <w:pStyle w:val="2"/>
                    <w:spacing w:after="0" w:line="240" w:lineRule="auto"/>
                    <w:jc w:val="center"/>
                    <w:rPr>
                      <w:rFonts w:ascii="Times New Roman" w:hAnsi="Times New Roman" w:cs="Times New Roman"/>
                      <w:color w:val="auto"/>
                    </w:rPr>
                  </w:pPr>
                </w:p>
              </w:tc>
              <w:tc>
                <w:tcPr>
                  <w:tcW w:w="528" w:type="pct"/>
                  <w:vMerge w:val="continue"/>
                  <w:tcBorders>
                    <w:bottom w:val="single" w:color="auto" w:sz="12" w:space="0"/>
                  </w:tcBorders>
                  <w:vAlign w:val="center"/>
                </w:tcPr>
                <w:p>
                  <w:pPr>
                    <w:pStyle w:val="2"/>
                    <w:spacing w:after="0" w:line="240" w:lineRule="auto"/>
                    <w:jc w:val="center"/>
                    <w:rPr>
                      <w:rFonts w:ascii="Times New Roman" w:hAnsi="Times New Roman" w:cs="Times New Roman"/>
                      <w:color w:val="auto"/>
                    </w:rPr>
                  </w:pPr>
                </w:p>
              </w:tc>
              <w:tc>
                <w:tcPr>
                  <w:tcW w:w="1087" w:type="pct"/>
                  <w:vMerge w:val="continue"/>
                  <w:tcBorders>
                    <w:bottom w:val="single" w:color="auto" w:sz="12" w:space="0"/>
                  </w:tcBorders>
                  <w:vAlign w:val="center"/>
                </w:tcPr>
                <w:p>
                  <w:pPr>
                    <w:pStyle w:val="2"/>
                    <w:spacing w:after="0" w:line="240" w:lineRule="auto"/>
                    <w:jc w:val="center"/>
                    <w:rPr>
                      <w:rFonts w:ascii="Times New Roman" w:hAnsi="Times New Roman" w:cs="Times New Roman"/>
                      <w:color w:val="auto"/>
                    </w:rPr>
                  </w:pPr>
                </w:p>
              </w:tc>
              <w:tc>
                <w:tcPr>
                  <w:tcW w:w="489" w:type="pct"/>
                  <w:vMerge w:val="continue"/>
                  <w:tcBorders>
                    <w:bottom w:val="single" w:color="auto" w:sz="12" w:space="0"/>
                  </w:tcBorders>
                  <w:vAlign w:val="center"/>
                </w:tcPr>
                <w:p>
                  <w:pPr>
                    <w:pStyle w:val="2"/>
                    <w:spacing w:after="0" w:line="240" w:lineRule="auto"/>
                    <w:jc w:val="center"/>
                    <w:rPr>
                      <w:rFonts w:ascii="Times New Roman" w:hAnsi="Times New Roman" w:cs="Times New Roman"/>
                      <w:color w:val="auto"/>
                    </w:rPr>
                  </w:pPr>
                </w:p>
              </w:tc>
              <w:tc>
                <w:tcPr>
                  <w:tcW w:w="589" w:type="pct"/>
                  <w:tcBorders>
                    <w:bottom w:val="single" w:color="auto" w:sz="12" w:space="0"/>
                  </w:tcBorders>
                  <w:vAlign w:val="center"/>
                </w:tcPr>
                <w:p>
                  <w:pPr>
                    <w:pStyle w:val="2"/>
                    <w:spacing w:after="0" w:line="240" w:lineRule="auto"/>
                    <w:jc w:val="center"/>
                    <w:rPr>
                      <w:rFonts w:ascii="Times New Roman" w:hAnsi="Times New Roman" w:cs="Times New Roman"/>
                      <w:color w:val="auto"/>
                    </w:rPr>
                  </w:pPr>
                  <w:r>
                    <w:rPr>
                      <w:rFonts w:ascii="Times New Roman" w:hAnsi="Times New Roman" w:cs="Times New Roman"/>
                      <w:color w:val="auto"/>
                    </w:rPr>
                    <w:t>昼间</w:t>
                  </w:r>
                </w:p>
              </w:tc>
              <w:tc>
                <w:tcPr>
                  <w:tcW w:w="591" w:type="pct"/>
                  <w:tcBorders>
                    <w:bottom w:val="single" w:color="auto" w:sz="12" w:space="0"/>
                  </w:tcBorders>
                  <w:vAlign w:val="center"/>
                </w:tcPr>
                <w:p>
                  <w:pPr>
                    <w:pStyle w:val="2"/>
                    <w:spacing w:after="0" w:line="240" w:lineRule="auto"/>
                    <w:jc w:val="center"/>
                    <w:rPr>
                      <w:rFonts w:ascii="Times New Roman" w:hAnsi="Times New Roman" w:cs="Times New Roman"/>
                      <w:color w:val="auto"/>
                    </w:rPr>
                  </w:pPr>
                  <w:r>
                    <w:rPr>
                      <w:rFonts w:ascii="Times New Roman" w:hAnsi="Times New Roman" w:cs="Times New Roman"/>
                      <w:color w:val="auto"/>
                    </w:rPr>
                    <w:t>夜间</w:t>
                  </w:r>
                </w:p>
              </w:tc>
              <w:tc>
                <w:tcPr>
                  <w:tcW w:w="1072" w:type="pct"/>
                  <w:vMerge w:val="continue"/>
                  <w:tcBorders>
                    <w:bottom w:val="single" w:color="auto" w:sz="12" w:space="0"/>
                  </w:tcBorders>
                  <w:vAlign w:val="center"/>
                </w:tcPr>
                <w:p>
                  <w:pPr>
                    <w:pStyle w:val="2"/>
                    <w:spacing w:after="0" w:line="240" w:lineRule="auto"/>
                    <w:jc w:val="center"/>
                    <w:rPr>
                      <w:rFonts w:ascii="Times New Roman" w:hAnsi="Times New Roman"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restar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2020.9.15</w:t>
                  </w:r>
                </w:p>
              </w:tc>
              <w:tc>
                <w:tcPr>
                  <w:tcW w:w="528"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N1</w:t>
                  </w:r>
                </w:p>
              </w:tc>
              <w:tc>
                <w:tcPr>
                  <w:tcW w:w="1087"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厂界东侧外一米处</w:t>
                  </w:r>
                </w:p>
              </w:tc>
              <w:tc>
                <w:tcPr>
                  <w:tcW w:w="489" w:type="pct"/>
                  <w:vMerge w:val="restar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等效A声级</w:t>
                  </w:r>
                </w:p>
              </w:tc>
              <w:tc>
                <w:tcPr>
                  <w:tcW w:w="589"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55.7</w:t>
                  </w:r>
                </w:p>
              </w:tc>
              <w:tc>
                <w:tcPr>
                  <w:tcW w:w="591"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45.5</w:t>
                  </w:r>
                </w:p>
              </w:tc>
              <w:tc>
                <w:tcPr>
                  <w:tcW w:w="1072" w:type="pct"/>
                  <w:vMerge w:val="restar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执行《工业企业厂界噪声排放标准》（GB12348-2008）2类标准（昼间60dB，夜间50dB）</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N2</w:t>
                  </w:r>
                </w:p>
              </w:tc>
              <w:tc>
                <w:tcPr>
                  <w:tcW w:w="1087"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厂界南侧外一米处</w:t>
                  </w:r>
                </w:p>
              </w:tc>
              <w:tc>
                <w:tcPr>
                  <w:tcW w:w="489"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89"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55.4</w:t>
                  </w:r>
                </w:p>
              </w:tc>
              <w:tc>
                <w:tcPr>
                  <w:tcW w:w="591"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45.2</w:t>
                  </w:r>
                </w:p>
              </w:tc>
              <w:tc>
                <w:tcPr>
                  <w:tcW w:w="1072"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N3</w:t>
                  </w:r>
                </w:p>
              </w:tc>
              <w:tc>
                <w:tcPr>
                  <w:tcW w:w="108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厂界西侧外一米处</w:t>
                  </w:r>
                </w:p>
              </w:tc>
              <w:tc>
                <w:tcPr>
                  <w:tcW w:w="489"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8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57.3</w:t>
                  </w:r>
                </w:p>
              </w:tc>
              <w:tc>
                <w:tcPr>
                  <w:tcW w:w="591"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46.9</w:t>
                  </w:r>
                </w:p>
              </w:tc>
              <w:tc>
                <w:tcPr>
                  <w:tcW w:w="1072"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N4</w:t>
                  </w:r>
                </w:p>
              </w:tc>
              <w:tc>
                <w:tcPr>
                  <w:tcW w:w="108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厂界北侧外一米处</w:t>
                  </w:r>
                </w:p>
              </w:tc>
              <w:tc>
                <w:tcPr>
                  <w:tcW w:w="489"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8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57.8</w:t>
                  </w:r>
                </w:p>
              </w:tc>
              <w:tc>
                <w:tcPr>
                  <w:tcW w:w="591"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47.3</w:t>
                  </w:r>
                </w:p>
              </w:tc>
              <w:tc>
                <w:tcPr>
                  <w:tcW w:w="1072"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2020.10.14</w:t>
                  </w: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N1</w:t>
                  </w:r>
                </w:p>
              </w:tc>
              <w:tc>
                <w:tcPr>
                  <w:tcW w:w="108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厂界东侧外一米处</w:t>
                  </w:r>
                </w:p>
              </w:tc>
              <w:tc>
                <w:tcPr>
                  <w:tcW w:w="489"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89" w:type="pct"/>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 w:val="21"/>
                      <w:szCs w:val="21"/>
                    </w:rPr>
                    <w:t>54.9</w:t>
                  </w:r>
                </w:p>
              </w:tc>
              <w:tc>
                <w:tcPr>
                  <w:tcW w:w="591"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44.7</w:t>
                  </w:r>
                </w:p>
              </w:tc>
              <w:tc>
                <w:tcPr>
                  <w:tcW w:w="1072"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N2</w:t>
                  </w:r>
                </w:p>
              </w:tc>
              <w:tc>
                <w:tcPr>
                  <w:tcW w:w="108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厂界南侧外一米处</w:t>
                  </w:r>
                </w:p>
              </w:tc>
              <w:tc>
                <w:tcPr>
                  <w:tcW w:w="489"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89" w:type="pct"/>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 w:val="21"/>
                      <w:szCs w:val="21"/>
                    </w:rPr>
                    <w:t>55.2</w:t>
                  </w:r>
                </w:p>
              </w:tc>
              <w:tc>
                <w:tcPr>
                  <w:tcW w:w="591"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45.1</w:t>
                  </w:r>
                </w:p>
              </w:tc>
              <w:tc>
                <w:tcPr>
                  <w:tcW w:w="1072"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N3</w:t>
                  </w:r>
                </w:p>
              </w:tc>
              <w:tc>
                <w:tcPr>
                  <w:tcW w:w="108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厂界西侧外一米处</w:t>
                  </w:r>
                </w:p>
              </w:tc>
              <w:tc>
                <w:tcPr>
                  <w:tcW w:w="489"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89" w:type="pct"/>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 w:val="21"/>
                      <w:szCs w:val="21"/>
                    </w:rPr>
                    <w:t>56.8</w:t>
                  </w:r>
                </w:p>
              </w:tc>
              <w:tc>
                <w:tcPr>
                  <w:tcW w:w="591"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45.8</w:t>
                  </w:r>
                </w:p>
              </w:tc>
              <w:tc>
                <w:tcPr>
                  <w:tcW w:w="1072"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N4</w:t>
                  </w:r>
                </w:p>
              </w:tc>
              <w:tc>
                <w:tcPr>
                  <w:tcW w:w="108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厂界北侧外一米处</w:t>
                  </w:r>
                </w:p>
              </w:tc>
              <w:tc>
                <w:tcPr>
                  <w:tcW w:w="489"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89" w:type="pct"/>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 w:val="21"/>
                      <w:szCs w:val="21"/>
                    </w:rPr>
                    <w:t>57.7</w:t>
                  </w:r>
                </w:p>
              </w:tc>
              <w:tc>
                <w:tcPr>
                  <w:tcW w:w="591"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47.2</w:t>
                  </w:r>
                </w:p>
              </w:tc>
              <w:tc>
                <w:tcPr>
                  <w:tcW w:w="1072"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2020.11.09</w:t>
                  </w: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N1</w:t>
                  </w:r>
                </w:p>
              </w:tc>
              <w:tc>
                <w:tcPr>
                  <w:tcW w:w="108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厂界东侧外一米处</w:t>
                  </w:r>
                </w:p>
              </w:tc>
              <w:tc>
                <w:tcPr>
                  <w:tcW w:w="489"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89" w:type="pct"/>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 w:val="21"/>
                      <w:szCs w:val="21"/>
                    </w:rPr>
                    <w:t>54.3</w:t>
                  </w:r>
                </w:p>
              </w:tc>
              <w:tc>
                <w:tcPr>
                  <w:tcW w:w="591"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44.6</w:t>
                  </w:r>
                </w:p>
              </w:tc>
              <w:tc>
                <w:tcPr>
                  <w:tcW w:w="1072"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N2</w:t>
                  </w:r>
                </w:p>
              </w:tc>
              <w:tc>
                <w:tcPr>
                  <w:tcW w:w="108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厂界南侧外一米处</w:t>
                  </w:r>
                </w:p>
              </w:tc>
              <w:tc>
                <w:tcPr>
                  <w:tcW w:w="489"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89" w:type="pct"/>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 w:val="21"/>
                      <w:szCs w:val="21"/>
                    </w:rPr>
                    <w:t>55.0</w:t>
                  </w:r>
                </w:p>
              </w:tc>
              <w:tc>
                <w:tcPr>
                  <w:tcW w:w="591"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45.0</w:t>
                  </w:r>
                </w:p>
              </w:tc>
              <w:tc>
                <w:tcPr>
                  <w:tcW w:w="1072"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N3</w:t>
                  </w:r>
                </w:p>
              </w:tc>
              <w:tc>
                <w:tcPr>
                  <w:tcW w:w="108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厂界西侧外一米处</w:t>
                  </w:r>
                </w:p>
              </w:tc>
              <w:tc>
                <w:tcPr>
                  <w:tcW w:w="489"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89" w:type="pct"/>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 w:val="21"/>
                      <w:szCs w:val="21"/>
                    </w:rPr>
                    <w:t>55.9</w:t>
                  </w:r>
                </w:p>
              </w:tc>
              <w:tc>
                <w:tcPr>
                  <w:tcW w:w="591"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45.7</w:t>
                  </w:r>
                </w:p>
              </w:tc>
              <w:tc>
                <w:tcPr>
                  <w:tcW w:w="1072"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N4</w:t>
                  </w:r>
                </w:p>
              </w:tc>
              <w:tc>
                <w:tcPr>
                  <w:tcW w:w="108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厂界北侧外一米处</w:t>
                  </w:r>
                </w:p>
              </w:tc>
              <w:tc>
                <w:tcPr>
                  <w:tcW w:w="489"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589" w:type="pct"/>
                  <w:tcBorders>
                    <w:tl2br w:val="nil"/>
                    <w:tr2bl w:val="nil"/>
                  </w:tcBorders>
                  <w:vAlign w:val="center"/>
                </w:tcPr>
                <w:p>
                  <w:pPr>
                    <w:spacing w:line="240" w:lineRule="auto"/>
                    <w:jc w:val="center"/>
                    <w:rPr>
                      <w:rFonts w:ascii="Times New Roman" w:hAnsi="Times New Roman" w:cs="Times New Roman"/>
                      <w:color w:val="auto"/>
                      <w:szCs w:val="21"/>
                    </w:rPr>
                  </w:pPr>
                  <w:r>
                    <w:rPr>
                      <w:rFonts w:ascii="Times New Roman" w:hAnsi="Times New Roman" w:cs="Times New Roman"/>
                      <w:color w:val="auto"/>
                      <w:sz w:val="21"/>
                      <w:szCs w:val="21"/>
                    </w:rPr>
                    <w:t>56.4</w:t>
                  </w:r>
                </w:p>
              </w:tc>
              <w:tc>
                <w:tcPr>
                  <w:tcW w:w="591"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47.4</w:t>
                  </w:r>
                </w:p>
              </w:tc>
              <w:tc>
                <w:tcPr>
                  <w:tcW w:w="1072"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bl>
          <w:p>
            <w:pPr>
              <w:ind w:firstLine="480" w:firstLineChars="200"/>
              <w:rPr>
                <w:rFonts w:ascii="Times New Roman" w:hAnsi="Times New Roman" w:cs="Times New Roman"/>
                <w:bCs/>
                <w:color w:val="auto"/>
              </w:rPr>
            </w:pPr>
            <w:r>
              <w:rPr>
                <w:rFonts w:ascii="Times New Roman" w:hAnsi="Times New Roman" w:cs="Times New Roman"/>
                <w:bCs/>
                <w:color w:val="auto"/>
              </w:rPr>
              <w:t>由以上检测结果可知，厂界噪声排放均可满足《工业企业厂界噪声排放标准》（GB12348-2008）2类标准限值（昼间60dB，夜间50dB）。</w:t>
            </w:r>
          </w:p>
          <w:p>
            <w:pPr>
              <w:ind w:firstLine="480" w:firstLineChars="200"/>
              <w:rPr>
                <w:rFonts w:ascii="Times New Roman" w:hAnsi="Times New Roman" w:cs="Times New Roman"/>
                <w:color w:val="auto"/>
              </w:rPr>
            </w:pPr>
            <w:r>
              <w:rPr>
                <w:rFonts w:ascii="Times New Roman" w:hAnsi="Times New Roman" w:cs="Times New Roman"/>
                <w:color w:val="auto"/>
              </w:rPr>
              <w:t>综上，厂区原有项目污染物情况如下表所示：</w:t>
            </w:r>
          </w:p>
          <w:p>
            <w:pPr>
              <w:tabs>
                <w:tab w:val="left" w:pos="180"/>
              </w:tabs>
              <w:snapToGrid w:val="0"/>
              <w:spacing w:line="360" w:lineRule="auto"/>
              <w:jc w:val="center"/>
              <w:rPr>
                <w:rFonts w:ascii="Times New Roman" w:hAnsi="Times New Roman" w:cs="Times New Roman"/>
                <w:b/>
                <w:bCs/>
                <w:color w:val="auto"/>
                <w:szCs w:val="24"/>
              </w:rPr>
            </w:pPr>
            <w:r>
              <w:rPr>
                <w:rFonts w:ascii="Times New Roman" w:hAnsi="Times New Roman" w:cs="Times New Roman"/>
                <w:b/>
                <w:bCs/>
                <w:color w:val="auto"/>
              </w:rPr>
              <w:t>表1-13  原有项目污染排放情况总览表</w:t>
            </w:r>
          </w:p>
          <w:tbl>
            <w:tblPr>
              <w:tblStyle w:val="1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1284"/>
              <w:gridCol w:w="1411"/>
              <w:gridCol w:w="3158"/>
              <w:gridCol w:w="226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522" w:type="pct"/>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内容</w:t>
                  </w:r>
                </w:p>
              </w:tc>
              <w:tc>
                <w:tcPr>
                  <w:tcW w:w="708" w:type="pct"/>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排放源</w:t>
                  </w:r>
                </w:p>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（编号）</w:t>
                  </w:r>
                </w:p>
              </w:tc>
              <w:tc>
                <w:tcPr>
                  <w:tcW w:w="778" w:type="pct"/>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污染物</w:t>
                  </w:r>
                </w:p>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名  称</w:t>
                  </w:r>
                </w:p>
              </w:tc>
              <w:tc>
                <w:tcPr>
                  <w:tcW w:w="1741" w:type="pct"/>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排放浓度及排放量（单位）</w:t>
                  </w:r>
                </w:p>
              </w:tc>
              <w:tc>
                <w:tcPr>
                  <w:tcW w:w="1248" w:type="pct"/>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环保措施</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522" w:type="pct"/>
                  <w:vMerge w:val="restart"/>
                  <w:tcBorders>
                    <w:top w:val="single" w:color="auto" w:sz="12" w:space="0"/>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大气</w:t>
                  </w:r>
                </w:p>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污染物</w:t>
                  </w:r>
                </w:p>
              </w:tc>
              <w:tc>
                <w:tcPr>
                  <w:tcW w:w="708" w:type="pct"/>
                  <w:tcBorders>
                    <w:top w:val="single" w:color="auto" w:sz="12" w:space="0"/>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锅炉废气</w:t>
                  </w:r>
                </w:p>
              </w:tc>
              <w:tc>
                <w:tcPr>
                  <w:tcW w:w="778" w:type="pct"/>
                  <w:tcBorders>
                    <w:top w:val="single" w:color="auto" w:sz="12" w:space="0"/>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烟气量</w:t>
                  </w:r>
                </w:p>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烟尘</w:t>
                  </w:r>
                </w:p>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pacing w:val="6"/>
                      <w:sz w:val="21"/>
                      <w:szCs w:val="21"/>
                    </w:rPr>
                    <w:t>NO</w:t>
                  </w:r>
                  <w:r>
                    <w:rPr>
                      <w:rFonts w:ascii="Times New Roman" w:hAnsi="Times New Roman" w:cs="Times New Roman"/>
                      <w:color w:val="auto"/>
                      <w:spacing w:val="6"/>
                      <w:sz w:val="21"/>
                      <w:szCs w:val="21"/>
                      <w:vertAlign w:val="subscript"/>
                    </w:rPr>
                    <w:t>X</w:t>
                  </w:r>
                </w:p>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SO</w:t>
                  </w:r>
                  <w:r>
                    <w:rPr>
                      <w:rFonts w:ascii="Times New Roman" w:hAnsi="Times New Roman" w:cs="Times New Roman"/>
                      <w:color w:val="auto"/>
                      <w:spacing w:val="6"/>
                      <w:sz w:val="21"/>
                      <w:szCs w:val="21"/>
                      <w:vertAlign w:val="subscript"/>
                    </w:rPr>
                    <w:t>2</w:t>
                  </w:r>
                </w:p>
              </w:tc>
              <w:tc>
                <w:tcPr>
                  <w:tcW w:w="1741" w:type="pct"/>
                  <w:tcBorders>
                    <w:top w:val="single" w:color="auto" w:sz="12" w:space="0"/>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20980.3m</w:t>
                  </w:r>
                  <w:r>
                    <w:rPr>
                      <w:rFonts w:ascii="Times New Roman" w:hAnsi="Times New Roman" w:cs="Times New Roman"/>
                      <w:color w:val="auto"/>
                      <w:spacing w:val="6"/>
                      <w:sz w:val="21"/>
                      <w:szCs w:val="21"/>
                      <w:vertAlign w:val="superscript"/>
                    </w:rPr>
                    <w:t>3</w:t>
                  </w:r>
                  <w:r>
                    <w:rPr>
                      <w:rFonts w:ascii="Times New Roman" w:hAnsi="Times New Roman" w:cs="Times New Roman"/>
                      <w:color w:val="auto"/>
                      <w:spacing w:val="6"/>
                      <w:sz w:val="21"/>
                      <w:szCs w:val="21"/>
                    </w:rPr>
                    <w:t>/h，</w:t>
                  </w:r>
                  <w:r>
                    <w:rPr>
                      <w:rFonts w:ascii="Times New Roman" w:hAnsi="Times New Roman" w:cs="Times New Roman"/>
                      <w:color w:val="auto"/>
                      <w:sz w:val="21"/>
                      <w:szCs w:val="21"/>
                    </w:rPr>
                    <w:t>151.06×10</w:t>
                  </w:r>
                  <w:r>
                    <w:rPr>
                      <w:rFonts w:ascii="Times New Roman" w:hAnsi="Times New Roman" w:cs="Times New Roman"/>
                      <w:color w:val="auto"/>
                      <w:sz w:val="21"/>
                      <w:szCs w:val="21"/>
                      <w:vertAlign w:val="superscript"/>
                    </w:rPr>
                    <w:t>6</w:t>
                  </w:r>
                  <w:r>
                    <w:rPr>
                      <w:rFonts w:ascii="Times New Roman" w:hAnsi="Times New Roman" w:cs="Times New Roman"/>
                      <w:color w:val="auto"/>
                      <w:sz w:val="21"/>
                      <w:szCs w:val="21"/>
                    </w:rPr>
                    <w:t>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/a（实测）</w:t>
                  </w:r>
                </w:p>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4.8mg/m</w:t>
                  </w:r>
                  <w:r>
                    <w:rPr>
                      <w:rFonts w:ascii="Times New Roman" w:hAnsi="Times New Roman" w:cs="Times New Roman"/>
                      <w:color w:val="auto"/>
                      <w:spacing w:val="6"/>
                      <w:sz w:val="21"/>
                      <w:szCs w:val="21"/>
                      <w:vertAlign w:val="superscript"/>
                    </w:rPr>
                    <w:t>3</w:t>
                  </w:r>
                  <w:r>
                    <w:rPr>
                      <w:rFonts w:ascii="Times New Roman" w:hAnsi="Times New Roman" w:cs="Times New Roman"/>
                      <w:color w:val="auto"/>
                      <w:spacing w:val="6"/>
                      <w:sz w:val="21"/>
                      <w:szCs w:val="21"/>
                    </w:rPr>
                    <w:t>，0.725t/a</w:t>
                  </w:r>
                </w:p>
                <w:p>
                  <w:pPr>
                    <w:spacing w:line="240" w:lineRule="auto"/>
                    <w:jc w:val="center"/>
                    <w:rPr>
                      <w:rFonts w:ascii="Times New Roman" w:hAnsi="Times New Roman" w:cs="Times New Roman"/>
                      <w:color w:val="auto"/>
                      <w:sz w:val="21"/>
                      <w:szCs w:val="21"/>
                    </w:rPr>
                  </w:pPr>
                  <w:r>
                    <w:rPr>
                      <w:rFonts w:ascii="Times New Roman" w:hAnsi="Times New Roman" w:cs="Times New Roman"/>
                      <w:color w:val="auto"/>
                      <w:spacing w:val="6"/>
                      <w:sz w:val="21"/>
                      <w:szCs w:val="21"/>
                    </w:rPr>
                    <w:t>23.3mg/m</w:t>
                  </w:r>
                  <w:r>
                    <w:rPr>
                      <w:rFonts w:ascii="Times New Roman" w:hAnsi="Times New Roman" w:cs="Times New Roman"/>
                      <w:color w:val="auto"/>
                      <w:spacing w:val="6"/>
                      <w:sz w:val="21"/>
                      <w:szCs w:val="21"/>
                      <w:vertAlign w:val="superscript"/>
                    </w:rPr>
                    <w:t>3</w:t>
                  </w:r>
                  <w:r>
                    <w:rPr>
                      <w:rFonts w:ascii="Times New Roman" w:hAnsi="Times New Roman" w:cs="Times New Roman"/>
                      <w:color w:val="auto"/>
                      <w:spacing w:val="6"/>
                      <w:sz w:val="21"/>
                      <w:szCs w:val="21"/>
                    </w:rPr>
                    <w:t>，3.519t/a</w:t>
                  </w:r>
                </w:p>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7mg/m</w:t>
                  </w:r>
                  <w:r>
                    <w:rPr>
                      <w:rFonts w:ascii="Times New Roman" w:hAnsi="Times New Roman" w:cs="Times New Roman"/>
                      <w:color w:val="auto"/>
                      <w:spacing w:val="6"/>
                      <w:sz w:val="21"/>
                      <w:szCs w:val="21"/>
                      <w:vertAlign w:val="superscript"/>
                    </w:rPr>
                    <w:t>3</w:t>
                  </w:r>
                  <w:r>
                    <w:rPr>
                      <w:rFonts w:ascii="Times New Roman" w:hAnsi="Times New Roman" w:cs="Times New Roman"/>
                      <w:color w:val="auto"/>
                      <w:spacing w:val="6"/>
                      <w:sz w:val="21"/>
                      <w:szCs w:val="21"/>
                    </w:rPr>
                    <w:t>，1.</w:t>
                  </w:r>
                  <w:r>
                    <w:rPr>
                      <w:rFonts w:hint="eastAsia" w:ascii="Times New Roman" w:hAnsi="Times New Roman" w:cs="Times New Roman"/>
                      <w:color w:val="auto"/>
                      <w:spacing w:val="6"/>
                      <w:sz w:val="21"/>
                      <w:szCs w:val="21"/>
                      <w:lang w:val="en-US" w:eastAsia="zh-CN"/>
                    </w:rPr>
                    <w:t>057</w:t>
                  </w:r>
                  <w:r>
                    <w:rPr>
                      <w:rFonts w:ascii="Times New Roman" w:hAnsi="Times New Roman" w:cs="Times New Roman"/>
                      <w:color w:val="auto"/>
                      <w:spacing w:val="6"/>
                      <w:sz w:val="21"/>
                      <w:szCs w:val="21"/>
                    </w:rPr>
                    <w:t>t/a</w:t>
                  </w:r>
                </w:p>
              </w:tc>
              <w:tc>
                <w:tcPr>
                  <w:tcW w:w="1248" w:type="pct"/>
                  <w:tcBorders>
                    <w:top w:val="single" w:color="auto" w:sz="12" w:space="0"/>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经自带低氮燃烧器处理+烟气再循环处理技术处理后由20m高烟囱高空排放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22" w:type="pct"/>
                  <w:vMerge w:val="continue"/>
                  <w:tcBorders>
                    <w:tl2br w:val="nil"/>
                    <w:tr2bl w:val="nil"/>
                  </w:tcBorders>
                  <w:vAlign w:val="center"/>
                </w:tcPr>
                <w:p>
                  <w:pPr>
                    <w:spacing w:line="240" w:lineRule="auto"/>
                    <w:jc w:val="center"/>
                    <w:rPr>
                      <w:rFonts w:ascii="Times New Roman" w:hAnsi="Times New Roman" w:cs="Times New Roman"/>
                      <w:color w:val="auto"/>
                      <w:spacing w:val="6"/>
                      <w:sz w:val="21"/>
                      <w:szCs w:val="21"/>
                    </w:rPr>
                  </w:pPr>
                </w:p>
              </w:tc>
              <w:tc>
                <w:tcPr>
                  <w:tcW w:w="708"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single"/>
                    </w:rPr>
                  </w:pPr>
                  <w:r>
                    <w:rPr>
                      <w:rFonts w:ascii="Times New Roman" w:hAnsi="Times New Roman" w:cs="Times New Roman"/>
                      <w:color w:val="auto"/>
                      <w:spacing w:val="6"/>
                      <w:sz w:val="21"/>
                      <w:szCs w:val="21"/>
                      <w:u w:val="single"/>
                    </w:rPr>
                    <w:t>食堂油烟</w:t>
                  </w:r>
                </w:p>
              </w:tc>
              <w:tc>
                <w:tcPr>
                  <w:tcW w:w="778"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single"/>
                    </w:rPr>
                  </w:pPr>
                  <w:r>
                    <w:rPr>
                      <w:rFonts w:ascii="Times New Roman" w:hAnsi="Times New Roman" w:cs="Times New Roman"/>
                      <w:color w:val="auto"/>
                      <w:spacing w:val="6"/>
                      <w:sz w:val="21"/>
                      <w:szCs w:val="21"/>
                      <w:u w:val="single"/>
                    </w:rPr>
                    <w:t>油烟</w:t>
                  </w:r>
                </w:p>
              </w:tc>
              <w:tc>
                <w:tcPr>
                  <w:tcW w:w="1741"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single"/>
                    </w:rPr>
                  </w:pPr>
                  <w:r>
                    <w:rPr>
                      <w:rFonts w:ascii="Times New Roman" w:hAnsi="Times New Roman" w:cs="Times New Roman"/>
                      <w:color w:val="auto"/>
                      <w:spacing w:val="6"/>
                      <w:sz w:val="21"/>
                      <w:szCs w:val="21"/>
                      <w:u w:val="single"/>
                    </w:rPr>
                    <w:t>2mg/m</w:t>
                  </w:r>
                  <w:r>
                    <w:rPr>
                      <w:rFonts w:ascii="Times New Roman" w:hAnsi="Times New Roman" w:cs="Times New Roman"/>
                      <w:color w:val="auto"/>
                      <w:spacing w:val="6"/>
                      <w:sz w:val="21"/>
                      <w:szCs w:val="21"/>
                      <w:u w:val="single"/>
                      <w:vertAlign w:val="superscript"/>
                    </w:rPr>
                    <w:t>3</w:t>
                  </w:r>
                  <w:r>
                    <w:rPr>
                      <w:rFonts w:ascii="Times New Roman" w:hAnsi="Times New Roman" w:cs="Times New Roman"/>
                      <w:color w:val="auto"/>
                      <w:spacing w:val="6"/>
                      <w:sz w:val="21"/>
                      <w:szCs w:val="21"/>
                      <w:u w:val="single"/>
                    </w:rPr>
                    <w:t>，4.8kg/a</w:t>
                  </w:r>
                </w:p>
              </w:tc>
              <w:tc>
                <w:tcPr>
                  <w:tcW w:w="1248" w:type="pct"/>
                  <w:vMerge w:val="restart"/>
                  <w:tcBorders>
                    <w:tl2br w:val="nil"/>
                    <w:tr2bl w:val="nil"/>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u w:val="single"/>
                    </w:rPr>
                    <w:t>食堂油烟经静电除油烟机由7m烟囱排放；调味车间油烟采用静电除油烟机处理后由10m排气筒排放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522" w:type="pct"/>
                  <w:vMerge w:val="continue"/>
                  <w:tcBorders>
                    <w:tl2br w:val="nil"/>
                    <w:tr2bl w:val="nil"/>
                  </w:tcBorders>
                  <w:vAlign w:val="center"/>
                </w:tcPr>
                <w:p>
                  <w:pPr>
                    <w:spacing w:line="240" w:lineRule="auto"/>
                    <w:jc w:val="center"/>
                    <w:rPr>
                      <w:rFonts w:ascii="Times New Roman" w:hAnsi="Times New Roman" w:cs="Times New Roman"/>
                      <w:color w:val="auto"/>
                      <w:spacing w:val="6"/>
                      <w:sz w:val="21"/>
                      <w:szCs w:val="21"/>
                    </w:rPr>
                  </w:pPr>
                </w:p>
              </w:tc>
              <w:tc>
                <w:tcPr>
                  <w:tcW w:w="708"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single"/>
                    </w:rPr>
                  </w:pPr>
                  <w:r>
                    <w:rPr>
                      <w:rFonts w:ascii="Times New Roman" w:hAnsi="Times New Roman" w:cs="Times New Roman"/>
                      <w:color w:val="auto"/>
                      <w:spacing w:val="6"/>
                      <w:sz w:val="21"/>
                      <w:szCs w:val="21"/>
                      <w:u w:val="single"/>
                    </w:rPr>
                    <w:t>红油炒锅</w:t>
                  </w:r>
                </w:p>
              </w:tc>
              <w:tc>
                <w:tcPr>
                  <w:tcW w:w="778"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single"/>
                    </w:rPr>
                  </w:pPr>
                  <w:r>
                    <w:rPr>
                      <w:rFonts w:ascii="Times New Roman" w:hAnsi="Times New Roman" w:cs="Times New Roman"/>
                      <w:color w:val="auto"/>
                      <w:spacing w:val="6"/>
                      <w:sz w:val="21"/>
                      <w:szCs w:val="21"/>
                      <w:u w:val="single"/>
                    </w:rPr>
                    <w:t>油烟</w:t>
                  </w:r>
                </w:p>
              </w:tc>
              <w:tc>
                <w:tcPr>
                  <w:tcW w:w="1741"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single"/>
                    </w:rPr>
                  </w:pPr>
                  <w:r>
                    <w:rPr>
                      <w:rFonts w:ascii="Times New Roman" w:hAnsi="Times New Roman" w:cs="Times New Roman"/>
                      <w:color w:val="auto"/>
                      <w:spacing w:val="6"/>
                      <w:sz w:val="21"/>
                      <w:szCs w:val="21"/>
                      <w:u w:val="single"/>
                    </w:rPr>
                    <w:t>2mg/m</w:t>
                  </w:r>
                  <w:r>
                    <w:rPr>
                      <w:rFonts w:ascii="Times New Roman" w:hAnsi="Times New Roman" w:cs="Times New Roman"/>
                      <w:color w:val="auto"/>
                      <w:spacing w:val="6"/>
                      <w:sz w:val="21"/>
                      <w:szCs w:val="21"/>
                      <w:u w:val="single"/>
                      <w:vertAlign w:val="superscript"/>
                    </w:rPr>
                    <w:t>3</w:t>
                  </w:r>
                  <w:r>
                    <w:rPr>
                      <w:rFonts w:ascii="Times New Roman" w:hAnsi="Times New Roman" w:cs="Times New Roman"/>
                      <w:color w:val="auto"/>
                      <w:spacing w:val="6"/>
                      <w:sz w:val="21"/>
                      <w:szCs w:val="21"/>
                      <w:u w:val="single"/>
                    </w:rPr>
                    <w:t>，14.4kg/a</w:t>
                  </w:r>
                </w:p>
              </w:tc>
              <w:tc>
                <w:tcPr>
                  <w:tcW w:w="1248" w:type="pct"/>
                  <w:vMerge w:val="continue"/>
                  <w:tcBorders>
                    <w:tl2br w:val="nil"/>
                    <w:tr2bl w:val="nil"/>
                  </w:tcBorders>
                  <w:vAlign w:val="center"/>
                </w:tcPr>
                <w:p>
                  <w:pPr>
                    <w:spacing w:line="240" w:lineRule="auto"/>
                    <w:jc w:val="center"/>
                    <w:rPr>
                      <w:rFonts w:ascii="Times New Roman" w:hAnsi="Times New Roman" w:cs="Times New Roman"/>
                      <w:color w:val="auto"/>
                      <w:spacing w:val="6"/>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522" w:type="pct"/>
                  <w:vMerge w:val="restart"/>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水</w:t>
                  </w:r>
                </w:p>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污</w:t>
                  </w:r>
                </w:p>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染</w:t>
                  </w:r>
                </w:p>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物</w:t>
                  </w:r>
                </w:p>
              </w:tc>
              <w:tc>
                <w:tcPr>
                  <w:tcW w:w="708" w:type="pct"/>
                  <w:vMerge w:val="restart"/>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生活污水</w:t>
                  </w:r>
                </w:p>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+生产废水</w:t>
                  </w:r>
                </w:p>
                <w:p>
                  <w:pPr>
                    <w:spacing w:line="240" w:lineRule="auto"/>
                    <w:jc w:val="center"/>
                    <w:rPr>
                      <w:rFonts w:ascii="Times New Roman" w:hAnsi="Times New Roman" w:cs="Times New Roman"/>
                      <w:color w:val="auto"/>
                      <w:spacing w:val="6"/>
                      <w:sz w:val="21"/>
                      <w:szCs w:val="21"/>
                    </w:rPr>
                  </w:pPr>
                </w:p>
              </w:tc>
              <w:tc>
                <w:tcPr>
                  <w:tcW w:w="778"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水量</w:t>
                  </w:r>
                </w:p>
              </w:tc>
              <w:tc>
                <w:tcPr>
                  <w:tcW w:w="1741"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bCs/>
                      <w:color w:val="auto"/>
                      <w:sz w:val="21"/>
                      <w:szCs w:val="21"/>
                    </w:rPr>
                    <w:t>282.9t/d</w:t>
                  </w:r>
                  <w:r>
                    <w:rPr>
                      <w:rFonts w:ascii="Times New Roman" w:hAnsi="Times New Roman" w:cs="Times New Roman"/>
                      <w:color w:val="auto"/>
                      <w:sz w:val="21"/>
                      <w:szCs w:val="21"/>
                    </w:rPr>
                    <w:t>，</w:t>
                  </w:r>
                  <w:r>
                    <w:rPr>
                      <w:rFonts w:ascii="Times New Roman" w:hAnsi="Times New Roman" w:cs="Times New Roman"/>
                      <w:bCs/>
                      <w:color w:val="auto"/>
                      <w:sz w:val="21"/>
                      <w:szCs w:val="21"/>
                    </w:rPr>
                    <w:t>84870</w:t>
                  </w:r>
                  <w:r>
                    <w:rPr>
                      <w:rFonts w:ascii="Times New Roman" w:hAnsi="Times New Roman" w:cs="Times New Roman"/>
                      <w:color w:val="auto"/>
                      <w:sz w:val="21"/>
                      <w:szCs w:val="21"/>
                    </w:rPr>
                    <w:t>t/a（实测）</w:t>
                  </w:r>
                </w:p>
              </w:tc>
              <w:tc>
                <w:tcPr>
                  <w:tcW w:w="1248" w:type="pct"/>
                  <w:vMerge w:val="restart"/>
                  <w:tcBorders>
                    <w:tl2br w:val="nil"/>
                    <w:tr2bl w:val="nil"/>
                  </w:tcBorders>
                  <w:shd w:val="clear" w:color="auto" w:fill="auto"/>
                  <w:vAlign w:val="center"/>
                </w:tcPr>
                <w:p>
                  <w:pPr>
                    <w:spacing w:line="240" w:lineRule="auto"/>
                    <w:jc w:val="center"/>
                    <w:rPr>
                      <w:rFonts w:ascii="Times New Roman" w:hAnsi="Times New Roman" w:cs="Times New Roman"/>
                      <w:bCs/>
                      <w:color w:val="auto"/>
                      <w:sz w:val="21"/>
                      <w:szCs w:val="21"/>
                    </w:rPr>
                  </w:pPr>
                  <w:r>
                    <w:rPr>
                      <w:rFonts w:ascii="Times New Roman" w:hAnsi="Times New Roman" w:cs="Times New Roman"/>
                      <w:bCs/>
                      <w:color w:val="auto"/>
                      <w:sz w:val="21"/>
                      <w:szCs w:val="21"/>
                    </w:rPr>
                    <w:t>生活污水经化粪池预处理，生产废水等经隔油池预处理，统一由厂区自建污水处理站处理，由市政管网排入罗家坡污水处理厂处理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522"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p>
              </w:tc>
              <w:tc>
                <w:tcPr>
                  <w:tcW w:w="708"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p>
              </w:tc>
              <w:tc>
                <w:tcPr>
                  <w:tcW w:w="778"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CODcr</w:t>
                  </w:r>
                </w:p>
              </w:tc>
              <w:tc>
                <w:tcPr>
                  <w:tcW w:w="1741"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50mg/L，4.2435t/a</w:t>
                  </w:r>
                </w:p>
              </w:tc>
              <w:tc>
                <w:tcPr>
                  <w:tcW w:w="1248"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2"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p>
              </w:tc>
              <w:tc>
                <w:tcPr>
                  <w:tcW w:w="708"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p>
              </w:tc>
              <w:tc>
                <w:tcPr>
                  <w:tcW w:w="778"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BOD</w:t>
                  </w:r>
                  <w:r>
                    <w:rPr>
                      <w:rFonts w:ascii="Times New Roman" w:hAnsi="Times New Roman" w:cs="Times New Roman"/>
                      <w:color w:val="auto"/>
                      <w:sz w:val="21"/>
                      <w:szCs w:val="21"/>
                      <w:vertAlign w:val="subscript"/>
                    </w:rPr>
                    <w:t>5</w:t>
                  </w:r>
                </w:p>
              </w:tc>
              <w:tc>
                <w:tcPr>
                  <w:tcW w:w="1741"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10mg/L，0.8487t/a</w:t>
                  </w:r>
                </w:p>
              </w:tc>
              <w:tc>
                <w:tcPr>
                  <w:tcW w:w="1248"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2"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p>
              </w:tc>
              <w:tc>
                <w:tcPr>
                  <w:tcW w:w="708"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p>
              </w:tc>
              <w:tc>
                <w:tcPr>
                  <w:tcW w:w="778"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悬浮物</w:t>
                  </w:r>
                </w:p>
              </w:tc>
              <w:tc>
                <w:tcPr>
                  <w:tcW w:w="1741"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10mg/L，0.8487t/a</w:t>
                  </w:r>
                </w:p>
              </w:tc>
              <w:tc>
                <w:tcPr>
                  <w:tcW w:w="1248"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2"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p>
              </w:tc>
              <w:tc>
                <w:tcPr>
                  <w:tcW w:w="708"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p>
              </w:tc>
              <w:tc>
                <w:tcPr>
                  <w:tcW w:w="778" w:type="pct"/>
                  <w:tcBorders>
                    <w:tl2br w:val="nil"/>
                    <w:tr2bl w:val="nil"/>
                  </w:tcBorders>
                  <w:shd w:val="clear" w:color="auto" w:fill="auto"/>
                  <w:vAlign w:val="center"/>
                </w:tcPr>
                <w:p>
                  <w:pPr>
                    <w:adjustRightInd w:val="0"/>
                    <w:snapToGri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动植物油</w:t>
                  </w:r>
                </w:p>
              </w:tc>
              <w:tc>
                <w:tcPr>
                  <w:tcW w:w="1741"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1mg/L，0.0849t/a</w:t>
                  </w:r>
                </w:p>
              </w:tc>
              <w:tc>
                <w:tcPr>
                  <w:tcW w:w="1248"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2"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p>
              </w:tc>
              <w:tc>
                <w:tcPr>
                  <w:tcW w:w="708"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rPr>
                  </w:pPr>
                </w:p>
              </w:tc>
              <w:tc>
                <w:tcPr>
                  <w:tcW w:w="778" w:type="pct"/>
                  <w:tcBorders>
                    <w:tl2br w:val="nil"/>
                    <w:tr2bl w:val="nil"/>
                  </w:tcBorders>
                  <w:shd w:val="clear" w:color="auto" w:fill="auto"/>
                  <w:vAlign w:val="center"/>
                </w:tcPr>
                <w:p>
                  <w:pPr>
                    <w:adjustRightInd w:val="0"/>
                    <w:snapToGri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NH</w:t>
                  </w:r>
                  <w:r>
                    <w:rPr>
                      <w:rFonts w:ascii="Times New Roman" w:hAnsi="Times New Roman" w:cs="Times New Roman"/>
                      <w:color w:val="auto"/>
                      <w:sz w:val="21"/>
                      <w:szCs w:val="21"/>
                      <w:vertAlign w:val="subscript"/>
                    </w:rPr>
                    <w:t>3</w:t>
                  </w:r>
                  <w:r>
                    <w:rPr>
                      <w:rFonts w:ascii="Times New Roman" w:hAnsi="Times New Roman" w:cs="Times New Roman"/>
                      <w:color w:val="auto"/>
                      <w:sz w:val="21"/>
                      <w:szCs w:val="21"/>
                    </w:rPr>
                    <w:t>-N</w:t>
                  </w:r>
                </w:p>
              </w:tc>
              <w:tc>
                <w:tcPr>
                  <w:tcW w:w="1741"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5mg/L，0.4244t/a</w:t>
                  </w:r>
                </w:p>
              </w:tc>
              <w:tc>
                <w:tcPr>
                  <w:tcW w:w="1248"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2" w:type="pct"/>
                  <w:vMerge w:val="restart"/>
                  <w:tcBorders>
                    <w:tl2br w:val="nil"/>
                    <w:tr2bl w:val="nil"/>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固体</w:t>
                  </w:r>
                </w:p>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废物</w:t>
                  </w:r>
                </w:p>
              </w:tc>
              <w:tc>
                <w:tcPr>
                  <w:tcW w:w="708" w:type="pct"/>
                  <w:tcBorders>
                    <w:tl2br w:val="nil"/>
                    <w:tr2bl w:val="nil"/>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rPr>
                    <w:t>调料包工艺</w:t>
                  </w:r>
                </w:p>
              </w:tc>
              <w:tc>
                <w:tcPr>
                  <w:tcW w:w="778" w:type="pct"/>
                  <w:tcBorders>
                    <w:tl2br w:val="nil"/>
                    <w:tr2bl w:val="nil"/>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rPr>
                    <w:t>废酸菜</w:t>
                  </w:r>
                </w:p>
              </w:tc>
              <w:tc>
                <w:tcPr>
                  <w:tcW w:w="1741" w:type="pct"/>
                  <w:tcBorders>
                    <w:tl2br w:val="nil"/>
                    <w:tr2bl w:val="nil"/>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rPr>
                    <w:t>24t/a</w:t>
                  </w:r>
                </w:p>
              </w:tc>
              <w:tc>
                <w:tcPr>
                  <w:tcW w:w="1248" w:type="pct"/>
                  <w:tcBorders>
                    <w:tl2br w:val="nil"/>
                    <w:tr2bl w:val="nil"/>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z w:val="21"/>
                      <w:szCs w:val="21"/>
                    </w:rPr>
                    <w:t>卫生填埋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2" w:type="pct"/>
                  <w:vMerge w:val="continue"/>
                  <w:tcBorders>
                    <w:tl2br w:val="nil"/>
                    <w:tr2bl w:val="nil"/>
                  </w:tcBorders>
                  <w:vAlign w:val="center"/>
                </w:tcPr>
                <w:p>
                  <w:pPr>
                    <w:spacing w:line="240" w:lineRule="auto"/>
                    <w:jc w:val="center"/>
                    <w:rPr>
                      <w:rFonts w:ascii="Times New Roman" w:hAnsi="Times New Roman" w:cs="Times New Roman"/>
                      <w:color w:val="auto"/>
                      <w:spacing w:val="6"/>
                      <w:sz w:val="21"/>
                      <w:szCs w:val="21"/>
                    </w:rPr>
                  </w:pPr>
                </w:p>
              </w:tc>
              <w:tc>
                <w:tcPr>
                  <w:tcW w:w="708" w:type="pct"/>
                  <w:tcBorders>
                    <w:tl2br w:val="nil"/>
                    <w:tr2bl w:val="nil"/>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员工办公、生活</w:t>
                  </w:r>
                </w:p>
              </w:tc>
              <w:tc>
                <w:tcPr>
                  <w:tcW w:w="778" w:type="pct"/>
                  <w:tcBorders>
                    <w:tl2br w:val="nil"/>
                    <w:tr2bl w:val="nil"/>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生活垃圾</w:t>
                  </w:r>
                </w:p>
              </w:tc>
              <w:tc>
                <w:tcPr>
                  <w:tcW w:w="1741" w:type="pct"/>
                  <w:tcBorders>
                    <w:tl2br w:val="nil"/>
                    <w:tr2bl w:val="nil"/>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1003.8t/a</w:t>
                  </w:r>
                </w:p>
              </w:tc>
              <w:tc>
                <w:tcPr>
                  <w:tcW w:w="1248" w:type="pct"/>
                  <w:tcBorders>
                    <w:tl2br w:val="nil"/>
                    <w:tr2bl w:val="nil"/>
                  </w:tcBorders>
                  <w:vAlign w:val="center"/>
                </w:tcPr>
                <w:p>
                  <w:pPr>
                    <w:spacing w:line="240" w:lineRule="auto"/>
                    <w:jc w:val="center"/>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环卫部门清运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2" w:type="pct"/>
                  <w:vMerge w:val="continue"/>
                  <w:tcBorders>
                    <w:tl2br w:val="nil"/>
                    <w:tr2bl w:val="nil"/>
                  </w:tcBorders>
                  <w:vAlign w:val="center"/>
                </w:tcPr>
                <w:p>
                  <w:pPr>
                    <w:spacing w:line="240" w:lineRule="auto"/>
                    <w:jc w:val="center"/>
                    <w:rPr>
                      <w:rFonts w:ascii="Times New Roman" w:hAnsi="Times New Roman" w:cs="Times New Roman"/>
                      <w:color w:val="auto"/>
                      <w:spacing w:val="6"/>
                      <w:sz w:val="21"/>
                      <w:szCs w:val="21"/>
                    </w:rPr>
                  </w:pPr>
                </w:p>
              </w:tc>
              <w:tc>
                <w:tcPr>
                  <w:tcW w:w="708" w:type="pct"/>
                  <w:tcBorders>
                    <w:tl2br w:val="nil"/>
                    <w:tr2bl w:val="nil"/>
                  </w:tcBorders>
                  <w:vAlign w:val="center"/>
                </w:tcPr>
                <w:p>
                  <w:pPr>
                    <w:spacing w:line="240" w:lineRule="auto"/>
                    <w:jc w:val="center"/>
                    <w:rPr>
                      <w:rFonts w:hint="eastAsia" w:ascii="Times New Roman" w:hAnsi="Times New Roman" w:cs="Times New Roman" w:eastAsiaTheme="minorEastAsia"/>
                      <w:color w:val="auto"/>
                      <w:spacing w:val="6"/>
                      <w:sz w:val="21"/>
                      <w:szCs w:val="21"/>
                      <w:u w:val="single"/>
                      <w:lang w:eastAsia="zh-CN"/>
                    </w:rPr>
                  </w:pPr>
                  <w:r>
                    <w:rPr>
                      <w:rFonts w:hint="eastAsia" w:ascii="Times New Roman" w:hAnsi="Times New Roman" w:cs="Times New Roman"/>
                      <w:color w:val="auto"/>
                      <w:spacing w:val="6"/>
                      <w:sz w:val="21"/>
                      <w:szCs w:val="21"/>
                      <w:u w:val="single"/>
                      <w:lang w:eastAsia="zh-CN"/>
                    </w:rPr>
                    <w:t>污水处理站</w:t>
                  </w:r>
                </w:p>
              </w:tc>
              <w:tc>
                <w:tcPr>
                  <w:tcW w:w="778" w:type="pct"/>
                  <w:tcBorders>
                    <w:tl2br w:val="nil"/>
                    <w:tr2bl w:val="nil"/>
                  </w:tcBorders>
                  <w:vAlign w:val="center"/>
                </w:tcPr>
                <w:p>
                  <w:pPr>
                    <w:spacing w:line="240" w:lineRule="auto"/>
                    <w:jc w:val="center"/>
                    <w:rPr>
                      <w:rFonts w:hint="eastAsia" w:ascii="Times New Roman" w:hAnsi="Times New Roman" w:cs="Times New Roman" w:eastAsiaTheme="minorEastAsia"/>
                      <w:color w:val="auto"/>
                      <w:spacing w:val="6"/>
                      <w:sz w:val="21"/>
                      <w:szCs w:val="21"/>
                      <w:u w:val="single"/>
                      <w:lang w:eastAsia="zh-CN"/>
                    </w:rPr>
                  </w:pPr>
                  <w:r>
                    <w:rPr>
                      <w:rFonts w:hint="eastAsia" w:ascii="Times New Roman" w:hAnsi="Times New Roman" w:cs="Times New Roman"/>
                      <w:color w:val="auto"/>
                      <w:spacing w:val="6"/>
                      <w:sz w:val="21"/>
                      <w:szCs w:val="21"/>
                      <w:u w:val="single"/>
                      <w:lang w:eastAsia="zh-CN"/>
                    </w:rPr>
                    <w:t>污泥</w:t>
                  </w:r>
                </w:p>
              </w:tc>
              <w:tc>
                <w:tcPr>
                  <w:tcW w:w="1741" w:type="pct"/>
                  <w:tcBorders>
                    <w:tl2br w:val="nil"/>
                    <w:tr2bl w:val="nil"/>
                  </w:tcBorders>
                  <w:vAlign w:val="center"/>
                </w:tcPr>
                <w:p>
                  <w:pPr>
                    <w:spacing w:line="240" w:lineRule="auto"/>
                    <w:jc w:val="center"/>
                    <w:rPr>
                      <w:rFonts w:hint="default" w:ascii="Times New Roman" w:hAnsi="Times New Roman" w:cs="Times New Roman" w:eastAsiaTheme="minorEastAsia"/>
                      <w:color w:val="auto"/>
                      <w:spacing w:val="6"/>
                      <w:sz w:val="21"/>
                      <w:szCs w:val="21"/>
                      <w:u w:val="single"/>
                      <w:lang w:val="en-US" w:eastAsia="zh-CN"/>
                    </w:rPr>
                  </w:pPr>
                  <w:r>
                    <w:rPr>
                      <w:rFonts w:hint="eastAsia" w:ascii="Times New Roman" w:hAnsi="Times New Roman" w:cs="Times New Roman"/>
                      <w:color w:val="auto"/>
                      <w:spacing w:val="6"/>
                      <w:sz w:val="21"/>
                      <w:szCs w:val="21"/>
                      <w:u w:val="single"/>
                      <w:lang w:val="en-US" w:eastAsia="zh-CN"/>
                    </w:rPr>
                    <w:t>3.65t/a</w:t>
                  </w:r>
                </w:p>
              </w:tc>
              <w:tc>
                <w:tcPr>
                  <w:tcW w:w="1248"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single"/>
                    </w:rPr>
                  </w:pPr>
                  <w:r>
                    <w:rPr>
                      <w:rFonts w:ascii="Times New Roman" w:hAnsi="Times New Roman" w:cs="Times New Roman"/>
                      <w:color w:val="auto"/>
                      <w:spacing w:val="6"/>
                      <w:sz w:val="21"/>
                      <w:szCs w:val="21"/>
                      <w:u w:val="single"/>
                    </w:rPr>
                    <w:t>环卫部门清运</w:t>
                  </w:r>
                </w:p>
              </w:tc>
            </w:tr>
          </w:tbl>
          <w:p>
            <w:pPr>
              <w:numPr>
                <w:ilvl w:val="0"/>
                <w:numId w:val="4"/>
              </w:numPr>
              <w:ind w:firstLine="482" w:firstLineChars="200"/>
              <w:rPr>
                <w:rFonts w:hint="eastAsia" w:ascii="Times New Roman" w:hAnsi="Times New Roman" w:cs="Times New Roman"/>
                <w:b/>
                <w:color w:val="auto"/>
                <w:u w:val="single"/>
                <w:lang w:val="en-US" w:eastAsia="zh-CN"/>
              </w:rPr>
            </w:pPr>
            <w:r>
              <w:rPr>
                <w:rFonts w:hint="eastAsia" w:ascii="Times New Roman" w:hAnsi="Times New Roman" w:cs="Times New Roman"/>
                <w:b/>
                <w:color w:val="auto"/>
                <w:u w:val="single"/>
                <w:lang w:val="en-US" w:eastAsia="zh-CN"/>
              </w:rPr>
              <w:t>企业周边环境背景调查</w:t>
            </w:r>
          </w:p>
          <w:p>
            <w:pPr>
              <w:widowControl/>
              <w:ind w:firstLine="480" w:firstLineChars="200"/>
              <w:jc w:val="left"/>
              <w:rPr>
                <w:rFonts w:hint="default" w:ascii="Times New Roman" w:hAnsi="Times New Roman" w:cs="Times New Roman"/>
                <w:color w:val="auto"/>
                <w:u w:val="single"/>
                <w:lang w:val="en-US" w:eastAsia="zh-CN"/>
              </w:rPr>
            </w:pPr>
            <w:r>
              <w:rPr>
                <w:rFonts w:hint="eastAsia" w:ascii="Times New Roman" w:hAnsi="Times New Roman" w:cs="Times New Roman"/>
                <w:color w:val="auto"/>
                <w:u w:val="single"/>
                <w:lang w:val="zh-TW" w:eastAsia="zh-CN"/>
              </w:rPr>
              <w:t>企业厂界北面隔王家畈路为居民小区</w:t>
            </w:r>
            <w:r>
              <w:rPr>
                <w:rFonts w:hint="eastAsia" w:ascii="Times New Roman" w:hAnsi="Times New Roman" w:cs="Times New Roman"/>
                <w:color w:val="auto"/>
                <w:u w:val="single"/>
                <w:lang w:val="en-US" w:eastAsia="zh-CN"/>
              </w:rPr>
              <w:t>，东北面有散户居民点，东面有富兴景城小区、</w:t>
            </w:r>
            <w:r>
              <w:rPr>
                <w:rFonts w:hint="eastAsia" w:ascii="Times New Roman" w:hAnsi="Times New Roman" w:cs="Times New Roman"/>
                <w:color w:val="auto"/>
                <w:u w:val="single"/>
                <w:lang w:val="zh-TW" w:eastAsia="zh-CN"/>
              </w:rPr>
              <w:t>湖南九鼎科技九鼎职院</w:t>
            </w:r>
            <w:r>
              <w:rPr>
                <w:rFonts w:hint="eastAsia" w:ascii="Times New Roman" w:hAnsi="Times New Roman" w:cs="Times New Roman"/>
                <w:color w:val="auto"/>
                <w:u w:val="single"/>
                <w:lang w:val="en-US" w:eastAsia="zh-CN"/>
              </w:rPr>
              <w:t>，东南面为滨水天悦小区，</w:t>
            </w:r>
            <w:r>
              <w:rPr>
                <w:rFonts w:hint="eastAsia" w:ascii="Times New Roman" w:hAnsi="Times New Roman" w:cs="Times New Roman"/>
                <w:color w:val="auto"/>
                <w:u w:val="single"/>
                <w:lang w:val="zh-TW" w:eastAsia="zh-CN"/>
              </w:rPr>
              <w:t>南面为</w:t>
            </w:r>
            <w:r>
              <w:rPr>
                <w:rFonts w:hint="eastAsia" w:ascii="Times New Roman" w:hAnsi="Times New Roman" w:cs="Times New Roman"/>
                <w:color w:val="auto"/>
                <w:u w:val="single"/>
                <w:lang w:val="en-US" w:eastAsia="zh-CN"/>
              </w:rPr>
              <w:t>富兴华城小区距离约25米。</w:t>
            </w:r>
            <w:r>
              <w:rPr>
                <w:rFonts w:hint="eastAsia" w:ascii="Times New Roman" w:hAnsi="Times New Roman" w:cs="Times New Roman"/>
                <w:color w:val="auto"/>
                <w:u w:val="single"/>
                <w:lang w:val="zh-TW" w:eastAsia="zh-CN"/>
              </w:rPr>
              <w:t>西面为大桥村居民点和大桥河，与项目锅炉房隔旭园路，分布较为分散，最近居民点距离锅炉房距离约</w:t>
            </w:r>
            <w:r>
              <w:rPr>
                <w:rFonts w:hint="eastAsia" w:ascii="Times New Roman" w:hAnsi="Times New Roman" w:cs="Times New Roman"/>
                <w:color w:val="auto"/>
                <w:u w:val="single"/>
                <w:lang w:val="en-US" w:eastAsia="zh-CN"/>
              </w:rPr>
              <w:t>90</w:t>
            </w:r>
            <w:r>
              <w:rPr>
                <w:rFonts w:hint="eastAsia" w:ascii="Times New Roman" w:hAnsi="Times New Roman" w:cs="Times New Roman"/>
                <w:color w:val="auto"/>
                <w:u w:val="single"/>
                <w:lang w:val="zh-TW" w:eastAsia="zh-CN"/>
              </w:rPr>
              <w:t>米。</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textAlignment w:val="auto"/>
              <w:rPr>
                <w:rFonts w:hint="default" w:ascii="Times New Roman" w:hAnsi="Times New Roman" w:cs="Times New Roman"/>
                <w:color w:val="auto"/>
                <w:u w:val="single"/>
                <w:lang w:val="en-US" w:eastAsia="zh-CN"/>
              </w:rPr>
            </w:pPr>
            <w:r>
              <w:rPr>
                <w:rFonts w:hint="eastAsia" w:ascii="Times New Roman" w:hAnsi="Times New Roman" w:cs="Times New Roman"/>
                <w:b/>
                <w:color w:val="auto"/>
                <w:u w:val="single"/>
                <w:lang w:eastAsia="zh-CN"/>
              </w:rPr>
              <w:t>项目周边</w:t>
            </w:r>
            <w:r>
              <w:rPr>
                <w:rFonts w:ascii="Times New Roman" w:hAnsi="Times New Roman" w:cs="Times New Roman"/>
                <w:b/>
                <w:color w:val="auto"/>
                <w:u w:val="single"/>
              </w:rPr>
              <w:t>环境问题</w:t>
            </w:r>
          </w:p>
          <w:p>
            <w:pPr>
              <w:widowControl/>
              <w:ind w:firstLine="480" w:firstLineChars="200"/>
              <w:jc w:val="left"/>
              <w:rPr>
                <w:rFonts w:hint="eastAsia" w:ascii="Times New Roman" w:hAnsi="Times New Roman" w:cs="Times New Roman"/>
                <w:color w:val="auto"/>
                <w:u w:val="single"/>
                <w:lang w:val="en-US" w:eastAsia="zh-CN"/>
              </w:rPr>
            </w:pPr>
            <w:r>
              <w:rPr>
                <w:rFonts w:hint="eastAsia" w:ascii="Times New Roman" w:hAnsi="Times New Roman" w:cs="Times New Roman"/>
                <w:color w:val="auto"/>
                <w:u w:val="single"/>
                <w:lang w:val="en-US" w:eastAsia="zh-CN"/>
              </w:rPr>
              <w:t>根据白象食品股份有限公司湖南分公司2007年取得的年产4亿包白象方便面工程环境影响报告表建设项目竣工环境保护验收意见（见附件3）、2014年12月28日取得了年产5亿包方便面调料包建设项目竣工环境保护验收意见（环验【2014】026号，详见附件3）可知以及常规监测报告可知，厂区内各污染环节产生的废水、废气、噪声等均可达标排放，固废也能得到妥善处置。</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Times New Roman" w:hAnsi="Times New Roman" w:cs="Times New Roman"/>
                <w:color w:val="auto"/>
                <w:u w:val="single"/>
                <w:lang w:val="en-US" w:eastAsia="zh-CN"/>
              </w:rPr>
            </w:pPr>
            <w:r>
              <w:rPr>
                <w:rFonts w:hint="eastAsia" w:ascii="Times New Roman" w:hAnsi="Times New Roman" w:cs="Times New Roman"/>
                <w:color w:val="auto"/>
                <w:u w:val="single"/>
                <w:lang w:val="en-US" w:eastAsia="zh-CN"/>
              </w:rPr>
              <w:t>本次扩建，企业产品方案、产能及生产工艺均未变化，因此本项目将从现场踏勘（现有工程内容）及扩建前后情况分析项目存在的环境问题。</w:t>
            </w:r>
          </w:p>
          <w:p>
            <w:pPr>
              <w:widowControl/>
              <w:ind w:firstLine="480" w:firstLineChars="200"/>
              <w:jc w:val="left"/>
              <w:rPr>
                <w:rFonts w:hint="default" w:ascii="Times New Roman" w:hAnsi="Times New Roman" w:cs="Times New Roman"/>
                <w:color w:val="auto"/>
                <w:u w:val="single"/>
                <w:lang w:val="en-US" w:eastAsia="zh-CN"/>
              </w:rPr>
            </w:pPr>
            <w:r>
              <w:rPr>
                <w:rFonts w:hint="eastAsia" w:ascii="Times New Roman" w:hAnsi="Times New Roman" w:cs="Times New Roman"/>
                <w:color w:val="auto"/>
                <w:u w:val="single"/>
                <w:lang w:eastAsia="zh-CN"/>
              </w:rPr>
              <w:t>（</w:t>
            </w:r>
            <w:r>
              <w:rPr>
                <w:rFonts w:hint="eastAsia" w:ascii="Times New Roman" w:hAnsi="Times New Roman" w:cs="Times New Roman"/>
                <w:color w:val="auto"/>
                <w:u w:val="single"/>
                <w:lang w:val="en-US" w:eastAsia="zh-CN"/>
              </w:rPr>
              <w:t>1）企业存在主要问题</w:t>
            </w:r>
          </w:p>
          <w:p>
            <w:pPr>
              <w:widowControl/>
              <w:ind w:firstLine="480" w:firstLineChars="200"/>
              <w:jc w:val="left"/>
              <w:rPr>
                <w:rFonts w:hint="eastAsia" w:ascii="Times New Roman" w:hAnsi="Times New Roman" w:cs="Times New Roman"/>
                <w:color w:val="auto"/>
                <w:u w:val="single"/>
                <w:lang w:eastAsia="zh-CN"/>
              </w:rPr>
            </w:pPr>
            <w:r>
              <w:rPr>
                <w:rFonts w:hint="default" w:ascii="Times New Roman" w:hAnsi="Times New Roman" w:cs="Times New Roman"/>
                <w:color w:val="auto"/>
                <w:u w:val="single"/>
                <w:lang w:eastAsia="zh-CN"/>
              </w:rPr>
              <w:t>①</w:t>
            </w:r>
            <w:r>
              <w:rPr>
                <w:rFonts w:hint="eastAsia" w:ascii="Times New Roman" w:hAnsi="Times New Roman" w:cs="Times New Roman"/>
                <w:color w:val="auto"/>
                <w:u w:val="single"/>
                <w:lang w:eastAsia="zh-CN"/>
              </w:rPr>
              <w:t>根据现场踏勘，企业现场污水处理站有一定臭气、危废暂存间设置不规范（未贴标示标牌）</w:t>
            </w:r>
          </w:p>
          <w:p>
            <w:pPr>
              <w:widowControl/>
              <w:ind w:firstLine="480" w:firstLineChars="200"/>
              <w:jc w:val="left"/>
              <w:rPr>
                <w:rFonts w:hint="default" w:ascii="Times New Roman" w:hAnsi="Times New Roman" w:cs="Times New Roman"/>
                <w:color w:val="auto"/>
                <w:highlight w:val="none"/>
                <w:u w:val="single"/>
                <w:lang w:eastAsia="zh-CN"/>
              </w:rPr>
            </w:pPr>
            <w:r>
              <w:rPr>
                <w:rFonts w:hint="default" w:ascii="Times New Roman" w:hAnsi="Times New Roman" w:cs="Times New Roman"/>
                <w:color w:val="auto"/>
                <w:highlight w:val="none"/>
                <w:u w:val="single"/>
                <w:lang w:eastAsia="zh-CN"/>
              </w:rPr>
              <w:t>②扩建前后，项目设备运转噪声变化明显，对周边居民有一定影响。</w:t>
            </w:r>
          </w:p>
          <w:p>
            <w:pPr>
              <w:widowControl/>
              <w:numPr>
                <w:ilvl w:val="0"/>
                <w:numId w:val="5"/>
              </w:numPr>
              <w:ind w:firstLine="480" w:firstLineChars="200"/>
              <w:jc w:val="left"/>
              <w:rPr>
                <w:rFonts w:hint="eastAsia" w:ascii="Times New Roman" w:hAnsi="Times New Roman" w:cs="Times New Roman"/>
                <w:color w:val="auto"/>
                <w:u w:val="single"/>
                <w:lang w:val="en-US" w:eastAsia="zh-CN"/>
              </w:rPr>
            </w:pPr>
            <w:r>
              <w:rPr>
                <w:rFonts w:hint="eastAsia" w:ascii="Times New Roman" w:hAnsi="Times New Roman" w:cs="Times New Roman"/>
                <w:color w:val="auto"/>
                <w:u w:val="single"/>
                <w:lang w:val="en-US" w:eastAsia="zh-CN"/>
              </w:rPr>
              <w:t>以新带老措施</w:t>
            </w:r>
          </w:p>
          <w:p>
            <w:pPr>
              <w:widowControl/>
              <w:ind w:firstLine="480" w:firstLineChars="200"/>
              <w:jc w:val="left"/>
              <w:rPr>
                <w:rFonts w:hint="eastAsia" w:ascii="Times New Roman" w:hAnsi="Times New Roman" w:cs="Times New Roman"/>
                <w:color w:val="auto"/>
                <w:u w:val="single"/>
                <w:lang w:val="en-US" w:eastAsia="zh-CN"/>
              </w:rPr>
            </w:pPr>
            <w:r>
              <w:rPr>
                <w:rFonts w:hint="eastAsia" w:ascii="Times New Roman" w:hAnsi="Times New Roman" w:cs="Times New Roman"/>
                <w:color w:val="auto"/>
                <w:u w:val="single"/>
                <w:lang w:val="en-US" w:eastAsia="zh-CN"/>
              </w:rPr>
              <w:t>扩建后，对污水处理站污泥进行定期清掏，避免恶臭大量排放，并投撒除臭剂，减少臭气的产生，并对危废暂存间进行整改，贴上相应的标示标牌，加强管理。</w:t>
            </w:r>
          </w:p>
          <w:p>
            <w:pPr>
              <w:widowControl/>
              <w:ind w:firstLine="480" w:firstLineChars="200"/>
              <w:jc w:val="left"/>
              <w:rPr>
                <w:rFonts w:hint="default" w:ascii="Times New Roman" w:hAnsi="Times New Roman" w:cs="Times New Roman"/>
                <w:color w:val="auto"/>
                <w:u w:val="single"/>
                <w:lang w:val="en-US" w:eastAsia="zh-CN"/>
              </w:rPr>
            </w:pPr>
            <w:r>
              <w:rPr>
                <w:rFonts w:hint="eastAsia" w:ascii="Times New Roman" w:hAnsi="Times New Roman" w:cs="Times New Roman"/>
                <w:color w:val="auto"/>
                <w:u w:val="single"/>
                <w:lang w:val="en-US" w:eastAsia="zh-CN"/>
              </w:rPr>
              <w:t>扩建后，对锅炉房锅炉采取合理布局、安装减震垫、墙体隔声等措施，减少噪声对周边居民影响。</w:t>
            </w:r>
          </w:p>
          <w:p>
            <w:pPr>
              <w:widowControl/>
              <w:ind w:firstLine="482" w:firstLineChars="200"/>
              <w:jc w:val="left"/>
              <w:rPr>
                <w:rFonts w:hint="eastAsia" w:ascii="Times New Roman" w:hAnsi="Times New Roman" w:cs="Times New Roman"/>
                <w:b/>
                <w:bCs/>
                <w:color w:val="auto"/>
                <w:lang w:eastAsia="zh-CN"/>
              </w:rPr>
            </w:pPr>
            <w:r>
              <w:rPr>
                <w:rFonts w:hint="eastAsia" w:ascii="Times New Roman" w:hAnsi="Times New Roman" w:cs="Times New Roman"/>
                <w:b/>
                <w:bCs/>
                <w:color w:val="auto"/>
                <w:lang w:eastAsia="zh-CN"/>
              </w:rPr>
              <w:t>环保投诉</w:t>
            </w:r>
          </w:p>
          <w:p>
            <w:pPr>
              <w:widowControl/>
              <w:ind w:firstLine="480" w:firstLineChars="200"/>
              <w:jc w:val="left"/>
              <w:rPr>
                <w:rFonts w:hint="eastAsia" w:eastAsiaTheme="minorEastAsia"/>
                <w:color w:val="auto"/>
                <w:lang w:eastAsia="zh-CN"/>
              </w:rPr>
            </w:pPr>
            <w:r>
              <w:rPr>
                <w:rFonts w:hint="eastAsia" w:ascii="Times New Roman" w:hAnsi="Times New Roman" w:cs="Times New Roman"/>
                <w:color w:val="auto"/>
                <w:lang w:eastAsia="zh-CN"/>
              </w:rPr>
              <w:t>自成立以来曾接到南边富兴华城小区的居民有关厂区废气污染的投诉，</w:t>
            </w:r>
            <w:r>
              <w:rPr>
                <w:rFonts w:hint="eastAsia" w:ascii="Times New Roman" w:hAnsi="Times New Roman" w:cs="Times New Roman"/>
                <w:color w:val="auto"/>
                <w:lang w:val="en-US" w:eastAsia="zh-CN"/>
              </w:rPr>
              <w:t>2019年12月</w:t>
            </w:r>
            <w:r>
              <w:rPr>
                <w:rFonts w:ascii="Times New Roman" w:hAnsi="Times New Roman" w:cs="Times New Roman"/>
                <w:color w:val="auto"/>
              </w:rPr>
              <w:t>企业积极响应政府《湖南省“蓝天保卫战”三年实施方案（2018-2020年）》、《湖南省污染防治攻坚战2019年度工作方案》、《岳阳市污染防治攻坚战2019年度工作方案》等要求。于2020年完成燃煤锅炉改天然气锅炉项目技术改造，</w:t>
            </w:r>
            <w:r>
              <w:rPr>
                <w:rFonts w:hint="eastAsia" w:ascii="Times New Roman" w:hAnsi="Times New Roman" w:cs="Times New Roman"/>
                <w:color w:val="auto"/>
                <w:lang w:eastAsia="zh-CN"/>
              </w:rPr>
              <w:t>厂区内大气污染物排放减少，对周边环境影响减轻。</w:t>
            </w:r>
          </w:p>
          <w:p>
            <w:pPr>
              <w:widowControl/>
              <w:jc w:val="left"/>
              <w:rPr>
                <w:rFonts w:ascii="Times New Roman" w:hAnsi="Times New Roman" w:cs="Times New Roman"/>
                <w:color w:val="auto"/>
              </w:rPr>
            </w:pPr>
          </w:p>
        </w:tc>
      </w:tr>
    </w:tbl>
    <w:p>
      <w:pPr>
        <w:rPr>
          <w:color w:val="auto"/>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4"/>
        <w:rPr>
          <w:bCs/>
          <w:color w:val="auto"/>
        </w:rPr>
      </w:pPr>
      <w:bookmarkStart w:id="2" w:name="_Toc31479"/>
      <w:r>
        <w:rPr>
          <w:rFonts w:hint="eastAsia"/>
          <w:bCs/>
          <w:color w:val="auto"/>
        </w:rPr>
        <w:t>二、建设项目所在地自然环境简况</w:t>
      </w:r>
      <w:bookmarkEnd w:id="2"/>
    </w:p>
    <w:tbl>
      <w:tblPr>
        <w:tblStyle w:val="18"/>
        <w:tblW w:w="9286"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9298"/>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9288" w:type="dxa"/>
            <w:tcBorders>
              <w:tl2br w:val="nil"/>
              <w:tr2bl w:val="nil"/>
            </w:tcBorders>
          </w:tcPr>
          <w:p>
            <w:pPr>
              <w:rPr>
                <w:rFonts w:ascii="Times New Roman" w:hAnsi="Times New Roman" w:cs="Times New Roman"/>
                <w:b/>
                <w:bCs/>
                <w:color w:val="auto"/>
                <w:sz w:val="30"/>
                <w:szCs w:val="30"/>
              </w:rPr>
            </w:pPr>
            <w:r>
              <w:rPr>
                <w:rFonts w:ascii="Times New Roman" w:hAnsi="Times New Roman" w:cs="Times New Roman"/>
                <w:b/>
                <w:bCs/>
                <w:color w:val="auto"/>
                <w:sz w:val="30"/>
                <w:szCs w:val="30"/>
              </w:rPr>
              <w:t>自然环境简况（地形、地貌、地质、气候、气象、水文、植被、生物多样性等）</w:t>
            </w:r>
          </w:p>
          <w:p>
            <w:pPr>
              <w:pStyle w:val="5"/>
              <w:ind w:firstLine="562"/>
              <w:outlineLvl w:val="1"/>
              <w:rPr>
                <w:rFonts w:cs="Times New Roman"/>
                <w:color w:val="auto"/>
              </w:rPr>
            </w:pPr>
            <w:r>
              <w:rPr>
                <w:rFonts w:cs="Times New Roman"/>
                <w:color w:val="auto"/>
              </w:rPr>
              <w:t>1、地理位置</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color w:val="auto"/>
              </w:rPr>
            </w:pPr>
            <w:r>
              <w:rPr>
                <w:rFonts w:hint="default" w:ascii="Times New Roman" w:hAnsi="Times New Roman" w:cs="Times New Roman"/>
                <w:color w:val="auto"/>
              </w:rPr>
              <w:t>岳阳市位于湖南省的东北部，素称“湘北门户”。地处东经112°18'31"</w:t>
            </w:r>
            <w:r>
              <w:rPr>
                <w:rFonts w:hint="default" w:ascii="Times New Roman" w:hAnsi="Times New Roman" w:cs="Times New Roman"/>
                <w:color w:val="auto"/>
                <w:lang w:val="en-US" w:eastAsia="zh-CN"/>
              </w:rPr>
              <w:t>̋</w:t>
            </w:r>
            <w:r>
              <w:rPr>
                <w:rFonts w:hint="default" w:ascii="Times New Roman" w:hAnsi="Times New Roman" w:cs="Times New Roman"/>
                <w:color w:val="auto"/>
              </w:rPr>
              <w:t>-114°9'6"，北纬28°25'33"</w:t>
            </w:r>
            <w:r>
              <w:rPr>
                <w:rFonts w:hint="default" w:ascii="Times New Roman" w:hAnsi="Times New Roman" w:cs="Times New Roman"/>
                <w:color w:val="auto"/>
                <w:lang w:val="en-US" w:eastAsia="zh-CN"/>
              </w:rPr>
              <w:t>̋</w:t>
            </w:r>
            <w:r>
              <w:rPr>
                <w:rFonts w:hint="default" w:ascii="Times New Roman" w:hAnsi="Times New Roman" w:cs="Times New Roman"/>
                <w:color w:val="auto"/>
              </w:rPr>
              <w:t>-29°51'00"</w:t>
            </w:r>
            <w:r>
              <w:rPr>
                <w:rFonts w:hint="default" w:ascii="Times New Roman" w:hAnsi="Times New Roman" w:cs="Times New Roman"/>
                <w:color w:val="auto"/>
                <w:lang w:val="en-US" w:eastAsia="zh-CN"/>
              </w:rPr>
              <w:t>̋</w:t>
            </w:r>
            <w:r>
              <w:rPr>
                <w:rFonts w:hint="default" w:ascii="Times New Roman" w:hAnsi="Times New Roman" w:cs="Times New Roman"/>
                <w:color w:val="auto"/>
              </w:rPr>
              <w:t>之间。东邻江西省铜鼓、修水县和湖北省通城县；南抵湖南省浏阳市、长沙县、望城县；西接湖南省南县、安乡县、沅江市；北界湖北省赤壁、洪湖、监利、石首县（市）。全市东西横跨177.84km，南北纵长157.87km。土地总面积14898km</w:t>
            </w:r>
            <w:r>
              <w:rPr>
                <w:rFonts w:hint="default" w:ascii="Times New Roman" w:hAnsi="Times New Roman" w:cs="Times New Roman"/>
                <w:color w:val="auto"/>
                <w:vertAlign w:val="superscript"/>
              </w:rPr>
              <w:t>2</w:t>
            </w:r>
            <w:r>
              <w:rPr>
                <w:rFonts w:hint="default" w:ascii="Times New Roman" w:hAnsi="Times New Roman" w:cs="Times New Roman"/>
                <w:color w:val="auto"/>
              </w:rPr>
              <w:t>，占全省总面积的7.05%。城市规划区面积845km</w:t>
            </w:r>
            <w:r>
              <w:rPr>
                <w:rFonts w:hint="default" w:ascii="Times New Roman" w:hAnsi="Times New Roman" w:cs="Times New Roman"/>
                <w:color w:val="auto"/>
                <w:vertAlign w:val="superscript"/>
              </w:rPr>
              <w:t>2</w:t>
            </w:r>
            <w:r>
              <w:rPr>
                <w:rFonts w:hint="default" w:ascii="Times New Roman" w:hAnsi="Times New Roman" w:cs="Times New Roman"/>
                <w:color w:val="auto"/>
              </w:rPr>
              <w:t>，其中市区建成区面积83.73km</w:t>
            </w:r>
            <w:r>
              <w:rPr>
                <w:rFonts w:hint="default" w:ascii="Times New Roman" w:hAnsi="Times New Roman" w:cs="Times New Roman"/>
                <w:color w:val="auto"/>
                <w:vertAlign w:val="superscript"/>
              </w:rPr>
              <w:t>2</w:t>
            </w:r>
            <w:r>
              <w:rPr>
                <w:rFonts w:hint="default" w:ascii="Times New Roman" w:hAnsi="Times New Roman" w:cs="Times New Roman"/>
                <w:color w:val="auto"/>
              </w:rPr>
              <w:t>。</w:t>
            </w:r>
          </w:p>
          <w:p>
            <w:pPr>
              <w:ind w:firstLine="480" w:firstLineChars="200"/>
              <w:rPr>
                <w:rFonts w:ascii="Times New Roman" w:hAnsi="Times New Roman" w:cs="Times New Roman"/>
                <w:color w:val="auto"/>
              </w:rPr>
            </w:pPr>
            <w:r>
              <w:rPr>
                <w:rFonts w:hint="eastAsia" w:ascii="Times New Roman" w:hAnsi="Times New Roman" w:cs="Times New Roman"/>
                <w:color w:val="auto"/>
                <w:lang w:eastAsia="zh-CN"/>
              </w:rPr>
              <w:t>本</w:t>
            </w:r>
            <w:r>
              <w:rPr>
                <w:rFonts w:hint="default" w:ascii="Times New Roman" w:hAnsi="Times New Roman" w:cs="Times New Roman"/>
                <w:color w:val="auto"/>
              </w:rPr>
              <w:t>项目</w:t>
            </w:r>
            <w:r>
              <w:rPr>
                <w:rFonts w:hint="eastAsia" w:ascii="Times New Roman" w:hAnsi="Times New Roman" w:cs="Times New Roman"/>
                <w:color w:val="auto"/>
                <w:lang w:eastAsia="zh-CN"/>
              </w:rPr>
              <w:t>位</w:t>
            </w:r>
            <w:r>
              <w:rPr>
                <w:rFonts w:hint="default" w:ascii="Times New Roman" w:hAnsi="Times New Roman" w:cs="Times New Roman"/>
                <w:color w:val="auto"/>
              </w:rPr>
              <w:t>于</w:t>
            </w:r>
            <w:r>
              <w:rPr>
                <w:rFonts w:hint="default" w:ascii="Times New Roman" w:hAnsi="Times New Roman" w:cs="Times New Roman"/>
                <w:color w:val="auto"/>
                <w:lang w:eastAsia="zh-CN"/>
              </w:rPr>
              <w:t>岳阳市王家畈路以南、八字门路以东地块内</w:t>
            </w:r>
            <w:r>
              <w:rPr>
                <w:rFonts w:hint="default" w:ascii="Times New Roman" w:hAnsi="Times New Roman" w:cs="Times New Roman"/>
                <w:color w:val="auto"/>
              </w:rPr>
              <w:t>（</w:t>
            </w:r>
            <w:r>
              <w:rPr>
                <w:rFonts w:hint="eastAsia" w:ascii="Times New Roman" w:hAnsi="Times New Roman" w:cs="Times New Roman"/>
                <w:color w:val="auto"/>
                <w:lang w:eastAsia="zh-CN"/>
              </w:rPr>
              <w:t>锅炉房</w:t>
            </w:r>
            <w:r>
              <w:rPr>
                <w:rFonts w:hint="default" w:ascii="Times New Roman" w:hAnsi="Times New Roman" w:cs="Times New Roman"/>
                <w:color w:val="auto"/>
              </w:rPr>
              <w:t>中心地理坐标</w:t>
            </w:r>
            <w:r>
              <w:rPr>
                <w:rFonts w:hint="default" w:ascii="Times New Roman" w:hAnsi="Times New Roman" w:cs="Times New Roman"/>
                <w:color w:val="auto"/>
                <w:lang w:val="en-US" w:eastAsia="zh-CN"/>
              </w:rPr>
              <w:t>东经 113 ° 9 ' 22.97̋</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北纬 29°22 '45.97</w:t>
            </w:r>
            <w:r>
              <w:rPr>
                <w:rFonts w:hint="default" w:ascii="Times New Roman" w:hAnsi="Times New Roman" w:cs="Times New Roman"/>
                <w:color w:val="auto"/>
              </w:rPr>
              <w:t>），具体位置见附图</w:t>
            </w:r>
            <w:r>
              <w:rPr>
                <w:rFonts w:hint="eastAsia" w:ascii="Times New Roman" w:hAnsi="Times New Roman" w:cs="Times New Roman"/>
                <w:color w:val="auto"/>
                <w:lang w:val="en-US" w:eastAsia="zh-CN"/>
              </w:rPr>
              <w:t>1-</w:t>
            </w:r>
            <w:r>
              <w:rPr>
                <w:rFonts w:hint="default" w:ascii="Times New Roman" w:hAnsi="Times New Roman" w:cs="Times New Roman"/>
                <w:color w:val="auto"/>
              </w:rPr>
              <w:t>1</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1-2</w:t>
            </w:r>
            <w:r>
              <w:rPr>
                <w:rFonts w:hint="default" w:ascii="Times New Roman" w:hAnsi="Times New Roman" w:cs="Times New Roman"/>
                <w:color w:val="auto"/>
              </w:rPr>
              <w:t>。</w:t>
            </w:r>
          </w:p>
          <w:p>
            <w:pPr>
              <w:pStyle w:val="5"/>
              <w:ind w:firstLine="562"/>
              <w:outlineLvl w:val="1"/>
              <w:rPr>
                <w:rFonts w:cs="Times New Roman"/>
                <w:color w:val="auto"/>
              </w:rPr>
            </w:pPr>
            <w:r>
              <w:rPr>
                <w:rFonts w:cs="Times New Roman"/>
                <w:color w:val="auto"/>
              </w:rPr>
              <w:t>2、地质地貌</w:t>
            </w:r>
          </w:p>
          <w:p>
            <w:pPr>
              <w:ind w:firstLine="480" w:firstLineChars="200"/>
              <w:rPr>
                <w:rFonts w:ascii="Times New Roman" w:hAnsi="Times New Roman" w:cs="Times New Roman"/>
                <w:color w:val="auto"/>
              </w:rPr>
            </w:pPr>
            <w:r>
              <w:rPr>
                <w:rFonts w:ascii="Times New Roman" w:hAnsi="Times New Roman" w:cs="Times New Roman"/>
                <w:color w:val="auto"/>
              </w:rPr>
              <w:t>岳阳市地处富饶的洞庭湖平原和雄浑的幕阜山区，地貌组织以丘陵、平原为主，山地、丘陵、岗地、平原、水面的比例大致为16∶24∶18∶26∶16。整个地势东高西低，山、丘、岗、平大致东西排列，南北延伸，呈阶梯状向洞庭湖倾斜，形似围椅状。东部山丘地带，中部岗丘地带，约占全市总面积的30%；西部平原地带，约占全市总面积的40%，由河床冲积物堆积而成，地势平坦开阔，地面坡度一般小于5度。下部地层主要由前震旦系垅质板和干枚状板岩组成，有较强风化层，地基承载力一般为300-450KPa，一些地方上部有局部的河湖淤积和坡积层，地基承载力一般为200-300KPa。项目所在地地质结构稳定，地震烈度7度。</w:t>
            </w:r>
          </w:p>
          <w:p>
            <w:pPr>
              <w:pStyle w:val="5"/>
              <w:ind w:firstLine="562"/>
              <w:outlineLvl w:val="1"/>
              <w:rPr>
                <w:rFonts w:cs="Times New Roman"/>
                <w:color w:val="auto"/>
              </w:rPr>
            </w:pPr>
            <w:r>
              <w:rPr>
                <w:rFonts w:cs="Times New Roman"/>
                <w:color w:val="auto"/>
              </w:rPr>
              <w:t>3、气候、气象</w:t>
            </w:r>
          </w:p>
          <w:p>
            <w:pPr>
              <w:ind w:firstLine="480" w:firstLineChars="200"/>
              <w:rPr>
                <w:rFonts w:ascii="Times New Roman" w:hAnsi="Times New Roman" w:cs="Times New Roman"/>
                <w:color w:val="auto"/>
              </w:rPr>
            </w:pPr>
            <w:r>
              <w:rPr>
                <w:rFonts w:ascii="Times New Roman" w:hAnsi="Times New Roman" w:cs="Times New Roman"/>
                <w:color w:val="auto"/>
              </w:rPr>
              <w:t>岳阳属于长江中下游</w:t>
            </w:r>
            <w:r>
              <w:rPr>
                <w:color w:val="auto"/>
              </w:rPr>
              <w:fldChar w:fldCharType="begin"/>
            </w:r>
            <w:r>
              <w:rPr>
                <w:color w:val="auto"/>
              </w:rPr>
              <w:instrText xml:space="preserve"> HYPERLINK "http://baike.baidu.com/view/115777.htm" \t "_blank" </w:instrText>
            </w:r>
            <w:r>
              <w:rPr>
                <w:color w:val="auto"/>
              </w:rPr>
              <w:fldChar w:fldCharType="separate"/>
            </w:r>
            <w:r>
              <w:rPr>
                <w:rFonts w:ascii="Times New Roman" w:hAnsi="Times New Roman" w:cs="Times New Roman"/>
                <w:color w:val="auto"/>
              </w:rPr>
              <w:t>地区</w:t>
            </w:r>
            <w:r>
              <w:rPr>
                <w:rFonts w:ascii="Times New Roman" w:hAnsi="Times New Roman" w:cs="Times New Roman"/>
                <w:color w:val="auto"/>
              </w:rPr>
              <w:fldChar w:fldCharType="end"/>
            </w:r>
            <w:r>
              <w:rPr>
                <w:rFonts w:ascii="Times New Roman" w:hAnsi="Times New Roman" w:cs="Times New Roman"/>
                <w:color w:val="auto"/>
              </w:rPr>
              <w:t>北亚热带季风湿润气候区，气候湿润，年平均气温17℃，平均日照数1813.8小时，多年平均降雨量1387.9mm，极端最高气温39.3℃，极端最低气温-11.8℃。年平均降雨量1302毫米，年平均相对湿度为79%，全年无霜期为277天，处日照时数为1722.1至1816.5小时，年太阳辐射总量为109.5至110.4千卡/平方厘米，是湖南日照时数最多的地区之一。气候特点是：温暖期长，严寒期短，四季分明，雨量充沛。年主导风向为北北东，年平均风速为2.8m/s。</w:t>
            </w:r>
          </w:p>
          <w:p>
            <w:pPr>
              <w:pStyle w:val="5"/>
              <w:ind w:firstLine="562"/>
              <w:outlineLvl w:val="1"/>
              <w:rPr>
                <w:rFonts w:cs="Times New Roman"/>
                <w:color w:val="auto"/>
              </w:rPr>
            </w:pPr>
            <w:r>
              <w:rPr>
                <w:rFonts w:cs="Times New Roman"/>
                <w:color w:val="auto"/>
              </w:rPr>
              <w:t>4、水文</w:t>
            </w:r>
          </w:p>
          <w:p>
            <w:pPr>
              <w:ind w:firstLine="480" w:firstLineChars="200"/>
              <w:rPr>
                <w:rFonts w:ascii="Times New Roman" w:hAnsi="Times New Roman" w:cs="Times New Roman"/>
                <w:color w:val="auto"/>
              </w:rPr>
            </w:pPr>
            <w:r>
              <w:rPr>
                <w:rFonts w:ascii="Times New Roman" w:hAnsi="Times New Roman" w:cs="Times New Roman"/>
                <w:color w:val="auto"/>
              </w:rPr>
              <w:t>东洞庭湖入长江的总出口江段，年平均过境量3126亿m</w:t>
            </w:r>
            <w:r>
              <w:rPr>
                <w:rFonts w:ascii="Times New Roman" w:hAnsi="Times New Roman" w:cs="Times New Roman"/>
                <w:color w:val="auto"/>
                <w:vertAlign w:val="superscript"/>
              </w:rPr>
              <w:t>3</w:t>
            </w:r>
            <w:r>
              <w:rPr>
                <w:rFonts w:ascii="Times New Roman" w:hAnsi="Times New Roman" w:cs="Times New Roman"/>
                <w:color w:val="auto"/>
              </w:rPr>
              <w:t>，最高水位35.31m，最低水位17.06m。长江水最大流量43460m</w:t>
            </w:r>
            <w:r>
              <w:rPr>
                <w:rFonts w:ascii="Times New Roman" w:hAnsi="Times New Roman" w:cs="Times New Roman"/>
                <w:color w:val="auto"/>
                <w:vertAlign w:val="superscript"/>
              </w:rPr>
              <w:t>3</w:t>
            </w:r>
            <w:r>
              <w:rPr>
                <w:rFonts w:ascii="Times New Roman" w:hAnsi="Times New Roman" w:cs="Times New Roman"/>
                <w:color w:val="auto"/>
              </w:rPr>
              <w:t>/s，最小流量860m</w:t>
            </w:r>
            <w:r>
              <w:rPr>
                <w:rFonts w:ascii="Times New Roman" w:hAnsi="Times New Roman" w:cs="Times New Roman"/>
                <w:color w:val="auto"/>
                <w:vertAlign w:val="superscript"/>
              </w:rPr>
              <w:t>3</w:t>
            </w:r>
            <w:r>
              <w:rPr>
                <w:rFonts w:ascii="Times New Roman" w:hAnsi="Times New Roman" w:cs="Times New Roman"/>
                <w:color w:val="auto"/>
              </w:rPr>
              <w:t>/s。历年平均流量3150m</w:t>
            </w:r>
            <w:r>
              <w:rPr>
                <w:rFonts w:ascii="Times New Roman" w:hAnsi="Times New Roman" w:cs="Times New Roman"/>
                <w:color w:val="auto"/>
                <w:vertAlign w:val="superscript"/>
              </w:rPr>
              <w:t>3</w:t>
            </w:r>
            <w:r>
              <w:rPr>
                <w:rFonts w:ascii="Times New Roman" w:hAnsi="Times New Roman" w:cs="Times New Roman"/>
                <w:color w:val="auto"/>
              </w:rPr>
              <w:t>/s，历年最小流量377m</w:t>
            </w:r>
            <w:r>
              <w:rPr>
                <w:rFonts w:ascii="Times New Roman" w:hAnsi="Times New Roman" w:cs="Times New Roman"/>
                <w:color w:val="auto"/>
                <w:vertAlign w:val="superscript"/>
              </w:rPr>
              <w:t>3</w:t>
            </w:r>
            <w:r>
              <w:rPr>
                <w:rFonts w:ascii="Times New Roman" w:hAnsi="Times New Roman" w:cs="Times New Roman"/>
                <w:color w:val="auto"/>
              </w:rPr>
              <w:t>/s，历年最大断面平均含沙量1.7kg/m</w:t>
            </w:r>
            <w:r>
              <w:rPr>
                <w:rFonts w:ascii="Times New Roman" w:hAnsi="Times New Roman" w:cs="Times New Roman"/>
                <w:color w:val="auto"/>
                <w:vertAlign w:val="superscript"/>
              </w:rPr>
              <w:t>3</w:t>
            </w:r>
            <w:r>
              <w:rPr>
                <w:rFonts w:ascii="Times New Roman" w:hAnsi="Times New Roman" w:cs="Times New Roman"/>
                <w:color w:val="auto"/>
              </w:rPr>
              <w:t>，历年最小断面平均含沙量0.017kg/m</w:t>
            </w:r>
            <w:r>
              <w:rPr>
                <w:rFonts w:ascii="Times New Roman" w:hAnsi="Times New Roman" w:cs="Times New Roman"/>
                <w:color w:val="auto"/>
                <w:vertAlign w:val="superscript"/>
              </w:rPr>
              <w:t>3</w:t>
            </w:r>
            <w:r>
              <w:rPr>
                <w:rFonts w:ascii="Times New Roman" w:hAnsi="Times New Roman" w:cs="Times New Roman"/>
                <w:color w:val="auto"/>
              </w:rPr>
              <w:t>。东洞庭湖水最高水温33.2℃，最低水温3℃，冬季平均水温6.9℃。</w:t>
            </w:r>
          </w:p>
          <w:p>
            <w:pPr>
              <w:ind w:firstLine="480" w:firstLineChars="200"/>
              <w:rPr>
                <w:rFonts w:ascii="Times New Roman" w:hAnsi="Times New Roman" w:cs="Times New Roman"/>
                <w:color w:val="auto"/>
              </w:rPr>
            </w:pPr>
            <w:r>
              <w:rPr>
                <w:rFonts w:ascii="Times New Roman" w:hAnsi="Times New Roman" w:cs="Times New Roman"/>
                <w:color w:val="auto"/>
              </w:rPr>
              <w:t>南湖：属于洞庭湖湖泊水系，位于岳阳市中心城区南部，原为洞庭湖东岸的一个大湖湾，因修筑南津港大堤与洞庭湖相分隔，仅出口处建有一个与洞庭湖相通的控制性闸口，成为了一个半封闭型湖泊。湖水依赖湖面降水、集雨区径流水和城市污水处理厂外排废水补给，出流经控制闸泄入洞庭湖，现有水面面积11.83平方公里，沿湖岸线50多公里，平均水深3.0米，最大水深9米，最高控制水位27.68米，正常蓄水量为3549万立方米，集雨面积约为150平方公里。</w:t>
            </w:r>
          </w:p>
          <w:p>
            <w:pPr>
              <w:pStyle w:val="5"/>
              <w:ind w:firstLine="562"/>
              <w:outlineLvl w:val="1"/>
              <w:rPr>
                <w:rFonts w:cs="Times New Roman"/>
                <w:color w:val="auto"/>
              </w:rPr>
            </w:pPr>
            <w:r>
              <w:rPr>
                <w:rFonts w:cs="Times New Roman"/>
                <w:color w:val="auto"/>
              </w:rPr>
              <w:t>5、土壤</w:t>
            </w:r>
          </w:p>
          <w:p>
            <w:pPr>
              <w:ind w:firstLine="480" w:firstLineChars="200"/>
              <w:rPr>
                <w:rFonts w:ascii="Times New Roman" w:hAnsi="Times New Roman" w:cs="Times New Roman"/>
                <w:color w:val="auto"/>
              </w:rPr>
            </w:pPr>
            <w:r>
              <w:rPr>
                <w:rFonts w:ascii="Times New Roman" w:hAnsi="Times New Roman" w:cs="Times New Roman"/>
                <w:color w:val="auto"/>
              </w:rPr>
              <w:t>岳阳市总国土面积15019平方公里，耕地面积32.10千公顷，其中水田面积17.33千公顷。区域表土为受长江和洞庭湖控制的冲积土，表层以粘土为主，夹少量砂土，厚度在0.4-12.64m，呈红褐色、黄褐色、深绿色和紫红色等类型；自然土壤以湖土和红壤为主，农耕以水稻土和菜园土为主。</w:t>
            </w:r>
          </w:p>
          <w:p>
            <w:pPr>
              <w:pStyle w:val="5"/>
              <w:ind w:firstLine="562"/>
              <w:outlineLvl w:val="1"/>
              <w:rPr>
                <w:rFonts w:cs="Times New Roman"/>
                <w:color w:val="auto"/>
              </w:rPr>
            </w:pPr>
            <w:r>
              <w:rPr>
                <w:rFonts w:cs="Times New Roman"/>
                <w:color w:val="auto"/>
              </w:rPr>
              <w:t>6、生态环境概况</w:t>
            </w:r>
          </w:p>
          <w:p>
            <w:pPr>
              <w:ind w:firstLine="480" w:firstLineChars="200"/>
              <w:rPr>
                <w:rFonts w:ascii="Times New Roman" w:hAnsi="Times New Roman" w:cs="Times New Roman"/>
                <w:color w:val="auto"/>
              </w:rPr>
            </w:pPr>
            <w:r>
              <w:rPr>
                <w:rFonts w:ascii="Times New Roman" w:hAnsi="Times New Roman" w:cs="Times New Roman"/>
                <w:color w:val="auto"/>
              </w:rPr>
              <w:t>经开区属于亚热带季风气候，四季分明，春季多雨，秋季晴朗干旱，为各种动植物的生长繁殖提供了适宜的环境。</w:t>
            </w:r>
          </w:p>
          <w:p>
            <w:pPr>
              <w:ind w:firstLine="480" w:firstLineChars="200"/>
              <w:rPr>
                <w:rFonts w:ascii="Times New Roman" w:hAnsi="Times New Roman" w:cs="Times New Roman"/>
                <w:color w:val="auto"/>
              </w:rPr>
            </w:pPr>
            <w:r>
              <w:rPr>
                <w:rFonts w:ascii="Times New Roman" w:hAnsi="Times New Roman" w:cs="Times New Roman"/>
                <w:color w:val="auto"/>
              </w:rPr>
              <w:t>植物中的乔木类有马尾松、杉木、小叶栎、苦槠、石砾、栲树、樟树、喜树、梧桐、枣、榕叶冬青、樱桃、珍珠莲等，灌木类有问荆、金樱子、盐肤木、山胡桃、水竹、篌竹、油茶、鸡婆柳、胡枝子、黄栀子，野鸭椿等。动物中有斑鸠、野鸭等鸟类，还有蛇、野兔、野鼠等。</w:t>
            </w:r>
          </w:p>
          <w:p>
            <w:pPr>
              <w:ind w:firstLine="480" w:firstLineChars="200"/>
              <w:rPr>
                <w:rFonts w:ascii="Times New Roman" w:hAnsi="Times New Roman" w:cs="Times New Roman"/>
                <w:color w:val="auto"/>
              </w:rPr>
            </w:pPr>
            <w:r>
              <w:rPr>
                <w:rFonts w:ascii="Times New Roman" w:hAnsi="Times New Roman" w:cs="Times New Roman"/>
                <w:color w:val="auto"/>
              </w:rPr>
              <w:t>区内植物属中亚热带长绿阔叶、针叶林带，树木有松、杉、樟、扬、柳等，山体植被覆盖较好。区内农作物主要有水稻、油菜等。根据现场调查，项目区域没有珍稀濒危等需要保护的野生动植物。</w:t>
            </w:r>
          </w:p>
          <w:p>
            <w:pPr>
              <w:pStyle w:val="5"/>
              <w:ind w:firstLine="562"/>
              <w:outlineLvl w:val="1"/>
              <w:rPr>
                <w:rFonts w:cs="Times New Roman"/>
                <w:color w:val="auto"/>
              </w:rPr>
            </w:pPr>
            <w:r>
              <w:rPr>
                <w:rFonts w:cs="Times New Roman"/>
                <w:color w:val="auto"/>
              </w:rPr>
              <w:t>7、罗家坡污水处理厂基本情况</w:t>
            </w:r>
          </w:p>
          <w:p>
            <w:pPr>
              <w:ind w:firstLine="480" w:firstLineChars="200"/>
              <w:rPr>
                <w:rFonts w:ascii="Times New Roman" w:hAnsi="Times New Roman" w:cs="Times New Roman"/>
                <w:color w:val="auto"/>
              </w:rPr>
            </w:pPr>
            <w:r>
              <w:rPr>
                <w:rFonts w:ascii="Times New Roman" w:hAnsi="Times New Roman" w:cs="Times New Roman"/>
                <w:color w:val="auto"/>
              </w:rPr>
              <w:t>罗家坡污水处理厂位于岳阳经济技术开发区康王乡新华村，位临北港河，占地47亩，工程总投资12000万元。工程汇水包括开发区北中片区、岳阳市金凤桥区共2个城市污水排放口，工程设计日处理污水量为5×10</w:t>
            </w:r>
            <w:r>
              <w:rPr>
                <w:rFonts w:ascii="Times New Roman" w:hAnsi="Times New Roman" w:cs="Times New Roman"/>
                <w:color w:val="auto"/>
                <w:vertAlign w:val="superscript"/>
              </w:rPr>
              <w:t>4</w:t>
            </w:r>
            <w:r>
              <w:rPr>
                <w:rFonts w:ascii="Times New Roman" w:hAnsi="Times New Roman" w:cs="Times New Roman"/>
                <w:color w:val="auto"/>
              </w:rPr>
              <w:t>m</w:t>
            </w:r>
            <w:r>
              <w:rPr>
                <w:rFonts w:ascii="Times New Roman" w:hAnsi="Times New Roman" w:cs="Times New Roman"/>
                <w:color w:val="auto"/>
                <w:vertAlign w:val="superscript"/>
              </w:rPr>
              <w:t>3</w:t>
            </w:r>
            <w:r>
              <w:rPr>
                <w:rFonts w:ascii="Times New Roman" w:hAnsi="Times New Roman" w:cs="Times New Roman"/>
                <w:color w:val="auto"/>
              </w:rPr>
              <w:t>/d。于2010年6月建成并投入使用。项目由江苏鹏鹞环保集团岳阳鹏鹞水务有限公司以BOT方式投资建设，采用A</w:t>
            </w:r>
            <w:r>
              <w:rPr>
                <w:rFonts w:ascii="Times New Roman" w:hAnsi="Times New Roman" w:cs="Times New Roman"/>
                <w:color w:val="auto"/>
                <w:vertAlign w:val="superscript"/>
              </w:rPr>
              <w:t>2</w:t>
            </w:r>
            <w:r>
              <w:rPr>
                <w:rFonts w:ascii="Times New Roman" w:hAnsi="Times New Roman" w:cs="Times New Roman"/>
                <w:color w:val="auto"/>
              </w:rPr>
              <w:t>/O工艺。目前，岳阳市经济开发区污水处理厂建设工程实际处理效率为80%左右。工程已于2011年7月通过湖南省环保厅验收。</w:t>
            </w:r>
          </w:p>
          <w:p>
            <w:pPr>
              <w:ind w:firstLine="480" w:firstLineChars="200"/>
              <w:rPr>
                <w:rFonts w:hint="eastAsia" w:ascii="Times New Roman" w:hAnsi="Times New Roman" w:cs="Times New Roman"/>
                <w:color w:val="auto"/>
              </w:rPr>
            </w:pPr>
            <w:r>
              <w:rPr>
                <w:rFonts w:ascii="Times New Roman" w:hAnsi="Times New Roman" w:cs="Times New Roman"/>
                <w:color w:val="auto"/>
              </w:rPr>
              <w:t>根据罗家坡污水处理厂2019年</w:t>
            </w:r>
            <w:r>
              <w:rPr>
                <w:rFonts w:hint="eastAsia" w:ascii="Times New Roman" w:hAnsi="Times New Roman" w:cs="Times New Roman"/>
                <w:color w:val="auto"/>
              </w:rPr>
              <w:t>第四</w:t>
            </w:r>
            <w:r>
              <w:rPr>
                <w:rFonts w:ascii="Times New Roman" w:hAnsi="Times New Roman" w:cs="Times New Roman"/>
                <w:color w:val="auto"/>
              </w:rPr>
              <w:t>季度监督性监测数据</w:t>
            </w:r>
            <w:r>
              <w:rPr>
                <w:rFonts w:hint="eastAsia"/>
                <w:color w:val="auto"/>
                <w:lang w:eastAsia="zh-CN"/>
              </w:rPr>
              <w:t>可知</w:t>
            </w:r>
            <w:r>
              <w:rPr>
                <w:rFonts w:ascii="Times New Roman" w:hAnsi="Times New Roman" w:cs="Times New Roman"/>
                <w:color w:val="auto"/>
              </w:rPr>
              <w:t>，罗家坡污水处理厂废水经处理后能</w:t>
            </w:r>
            <w:r>
              <w:rPr>
                <w:rFonts w:hint="eastAsia" w:ascii="Times New Roman" w:hAnsi="Times New Roman" w:cs="Times New Roman"/>
                <w:color w:val="auto"/>
              </w:rPr>
              <w:t>一期出口各类污染物可</w:t>
            </w:r>
            <w:r>
              <w:rPr>
                <w:rFonts w:ascii="Times New Roman" w:hAnsi="Times New Roman" w:cs="Times New Roman"/>
                <w:color w:val="auto"/>
              </w:rPr>
              <w:t>达到《城镇污水处理厂污染物排放标准》中的一级A标准要求</w:t>
            </w:r>
            <w:r>
              <w:rPr>
                <w:rFonts w:hint="eastAsia" w:ascii="Times New Roman" w:hAnsi="Times New Roman" w:cs="Times New Roman"/>
                <w:color w:val="auto"/>
              </w:rPr>
              <w:t>，二期出口除粪大肠菌群外均可</w:t>
            </w:r>
            <w:r>
              <w:rPr>
                <w:rFonts w:ascii="Times New Roman" w:hAnsi="Times New Roman" w:cs="Times New Roman"/>
                <w:color w:val="auto"/>
              </w:rPr>
              <w:t>达到《城镇污水处理厂污染物排放标准》中的一级A标准要求</w:t>
            </w:r>
            <w:r>
              <w:rPr>
                <w:rFonts w:hint="eastAsia" w:ascii="Times New Roman" w:hAnsi="Times New Roman" w:cs="Times New Roman"/>
                <w:color w:val="auto"/>
              </w:rPr>
              <w:t>。</w:t>
            </w:r>
          </w:p>
          <w:p>
            <w:pPr>
              <w:spacing w:line="360" w:lineRule="auto"/>
              <w:jc w:val="center"/>
              <w:rPr>
                <w:rFonts w:ascii="Times New Roman" w:hAnsi="Times New Roman" w:cs="Times New Roman"/>
                <w:color w:val="auto"/>
              </w:rPr>
            </w:pPr>
            <w:r>
              <w:rPr>
                <w:rFonts w:ascii="Times New Roman" w:hAnsi="Times New Roman" w:cs="Times New Roman"/>
                <w:b/>
                <w:bCs/>
                <w:color w:val="auto"/>
              </w:rPr>
              <w:t>表2-1  罗家坡污水处理厂水质监测结果表   单位：mg/L</w:t>
            </w:r>
            <w:r>
              <w:rPr>
                <w:rFonts w:ascii="Times New Roman" w:hAnsi="Times New Roman" w:cs="Times New Roman"/>
                <w:color w:val="auto"/>
              </w:rPr>
              <w:t xml:space="preserve"> </w:t>
            </w:r>
          </w:p>
          <w:tbl>
            <w:tblPr>
              <w:tblStyle w:val="17"/>
              <w:tblW w:w="5000" w:type="pct"/>
              <w:jc w:val="center"/>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1314"/>
              <w:gridCol w:w="992"/>
              <w:gridCol w:w="992"/>
              <w:gridCol w:w="992"/>
              <w:gridCol w:w="851"/>
              <w:gridCol w:w="1134"/>
              <w:gridCol w:w="1590"/>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9" w:type="pct"/>
                  <w:gridSpan w:val="2"/>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控制项目</w:t>
                  </w:r>
                </w:p>
              </w:tc>
              <w:tc>
                <w:tcPr>
                  <w:tcW w:w="547"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总氮</w:t>
                  </w:r>
                </w:p>
              </w:tc>
              <w:tc>
                <w:tcPr>
                  <w:tcW w:w="547"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COD</w:t>
                  </w:r>
                </w:p>
              </w:tc>
              <w:tc>
                <w:tcPr>
                  <w:tcW w:w="547"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氨氮</w:t>
                  </w:r>
                </w:p>
              </w:tc>
              <w:tc>
                <w:tcPr>
                  <w:tcW w:w="469"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BOD</w:t>
                  </w:r>
                  <w:r>
                    <w:rPr>
                      <w:rFonts w:ascii="Times New Roman" w:hAnsi="Times New Roman" w:cs="Times New Roman"/>
                      <w:b/>
                      <w:bCs/>
                      <w:color w:val="auto"/>
                      <w:sz w:val="21"/>
                      <w:szCs w:val="21"/>
                      <w:vertAlign w:val="subscript"/>
                    </w:rPr>
                    <w:t>5</w:t>
                  </w:r>
                </w:p>
              </w:tc>
              <w:tc>
                <w:tcPr>
                  <w:tcW w:w="625" w:type="pct"/>
                  <w:vAlign w:val="center"/>
                </w:tcPr>
                <w:p>
                  <w:pPr>
                    <w:spacing w:line="240" w:lineRule="auto"/>
                    <w:jc w:val="center"/>
                    <w:rPr>
                      <w:rFonts w:hint="eastAsia" w:ascii="Times New Roman" w:hAnsi="Times New Roman" w:cs="Times New Roman"/>
                      <w:b/>
                      <w:bCs/>
                      <w:color w:val="auto"/>
                      <w:sz w:val="21"/>
                      <w:szCs w:val="21"/>
                    </w:rPr>
                  </w:pPr>
                  <w:r>
                    <w:rPr>
                      <w:rFonts w:ascii="Times New Roman" w:hAnsi="Times New Roman" w:cs="Times New Roman"/>
                      <w:b/>
                      <w:bCs/>
                      <w:color w:val="auto"/>
                      <w:sz w:val="21"/>
                      <w:szCs w:val="21"/>
                    </w:rPr>
                    <w:t>总磷</w:t>
                  </w:r>
                </w:p>
              </w:tc>
              <w:tc>
                <w:tcPr>
                  <w:tcW w:w="876" w:type="pct"/>
                  <w:vAlign w:val="center"/>
                </w:tcPr>
                <w:p>
                  <w:pPr>
                    <w:spacing w:line="240" w:lineRule="auto"/>
                    <w:jc w:val="center"/>
                    <w:rPr>
                      <w:rFonts w:ascii="Times New Roman" w:hAnsi="Times New Roman" w:cs="Times New Roman"/>
                      <w:b/>
                      <w:bCs/>
                      <w:color w:val="auto"/>
                      <w:sz w:val="21"/>
                      <w:szCs w:val="21"/>
                    </w:rPr>
                  </w:pPr>
                  <w:r>
                    <w:rPr>
                      <w:rFonts w:hint="eastAsia" w:ascii="Times New Roman" w:hAnsi="Times New Roman" w:cs="Times New Roman"/>
                      <w:color w:val="auto"/>
                      <w:sz w:val="21"/>
                      <w:szCs w:val="21"/>
                    </w:rPr>
                    <w:t>粪大肠菌群</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pct"/>
                  <w:vMerge w:val="restar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w:t>
                  </w:r>
                  <w:r>
                    <w:rPr>
                      <w:rFonts w:ascii="Times New Roman" w:hAnsi="Times New Roman" w:cs="Times New Roman"/>
                      <w:color w:val="auto"/>
                      <w:sz w:val="21"/>
                      <w:szCs w:val="21"/>
                    </w:rPr>
                    <w:t>019</w:t>
                  </w:r>
                  <w:r>
                    <w:rPr>
                      <w:rFonts w:hint="eastAsia" w:ascii="Times New Roman" w:hAnsi="Times New Roman" w:cs="Times New Roman"/>
                      <w:color w:val="auto"/>
                      <w:sz w:val="21"/>
                      <w:szCs w:val="21"/>
                    </w:rPr>
                    <w:t>年1</w:t>
                  </w:r>
                  <w:r>
                    <w:rPr>
                      <w:rFonts w:ascii="Times New Roman" w:hAnsi="Times New Roman" w:cs="Times New Roman"/>
                      <w:color w:val="auto"/>
                      <w:sz w:val="21"/>
                      <w:szCs w:val="21"/>
                    </w:rPr>
                    <w:t>2</w:t>
                  </w:r>
                  <w:r>
                    <w:rPr>
                      <w:rFonts w:hint="eastAsia" w:ascii="Times New Roman" w:hAnsi="Times New Roman" w:cs="Times New Roman"/>
                      <w:color w:val="auto"/>
                      <w:sz w:val="21"/>
                      <w:szCs w:val="21"/>
                    </w:rPr>
                    <w:t>月2</w:t>
                  </w:r>
                  <w:r>
                    <w:rPr>
                      <w:rFonts w:ascii="Times New Roman" w:hAnsi="Times New Roman" w:cs="Times New Roman"/>
                      <w:color w:val="auto"/>
                      <w:sz w:val="21"/>
                      <w:szCs w:val="21"/>
                    </w:rPr>
                    <w:t>7</w:t>
                  </w:r>
                  <w:r>
                    <w:rPr>
                      <w:rFonts w:hint="eastAsia" w:ascii="Times New Roman" w:hAnsi="Times New Roman" w:cs="Times New Roman"/>
                      <w:color w:val="auto"/>
                      <w:sz w:val="21"/>
                      <w:szCs w:val="21"/>
                    </w:rPr>
                    <w:t>日</w:t>
                  </w:r>
                </w:p>
              </w:tc>
              <w:tc>
                <w:tcPr>
                  <w:tcW w:w="724" w:type="pct"/>
                  <w:tcBorders>
                    <w:top w:val="single" w:color="auto" w:sz="12" w:space="0"/>
                    <w:tl2br w:val="nil"/>
                    <w:tr2bl w:val="nil"/>
                  </w:tcBorders>
                  <w:vAlign w:val="center"/>
                </w:tcPr>
                <w:p>
                  <w:pPr>
                    <w:spacing w:line="240" w:lineRule="auto"/>
                    <w:jc w:val="center"/>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一期出口</w:t>
                  </w:r>
                </w:p>
              </w:tc>
              <w:tc>
                <w:tcPr>
                  <w:tcW w:w="547"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10.4</w:t>
                  </w:r>
                </w:p>
              </w:tc>
              <w:tc>
                <w:tcPr>
                  <w:tcW w:w="547"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12</w:t>
                  </w:r>
                </w:p>
              </w:tc>
              <w:tc>
                <w:tcPr>
                  <w:tcW w:w="547"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1.03</w:t>
                  </w:r>
                </w:p>
              </w:tc>
              <w:tc>
                <w:tcPr>
                  <w:tcW w:w="469"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4.9</w:t>
                  </w:r>
                </w:p>
              </w:tc>
              <w:tc>
                <w:tcPr>
                  <w:tcW w:w="625" w:type="pct"/>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r>
                    <w:rPr>
                      <w:rFonts w:ascii="Times New Roman" w:hAnsi="Times New Roman" w:cs="Times New Roman"/>
                      <w:color w:val="auto"/>
                      <w:sz w:val="21"/>
                      <w:szCs w:val="21"/>
                    </w:rPr>
                    <w:t>.07</w:t>
                  </w:r>
                </w:p>
              </w:tc>
              <w:tc>
                <w:tcPr>
                  <w:tcW w:w="876" w:type="pct"/>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9</w:t>
                  </w:r>
                  <w:r>
                    <w:rPr>
                      <w:rFonts w:ascii="Times New Roman" w:hAnsi="Times New Roman" w:cs="Times New Roman"/>
                      <w:color w:val="auto"/>
                      <w:sz w:val="21"/>
                      <w:szCs w:val="21"/>
                    </w:rPr>
                    <w:t>40</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pct"/>
                  <w:vMerge w:val="continue"/>
                  <w:tcBorders>
                    <w:tl2br w:val="nil"/>
                    <w:tr2bl w:val="nil"/>
                  </w:tcBorders>
                  <w:vAlign w:val="center"/>
                </w:tcPr>
                <w:p>
                  <w:pPr>
                    <w:widowControl/>
                    <w:spacing w:line="240" w:lineRule="auto"/>
                    <w:jc w:val="center"/>
                    <w:rPr>
                      <w:rFonts w:ascii="Times New Roman" w:hAnsi="Times New Roman" w:cs="Times New Roman"/>
                      <w:color w:val="auto"/>
                      <w:sz w:val="21"/>
                      <w:szCs w:val="21"/>
                    </w:rPr>
                  </w:pPr>
                </w:p>
              </w:tc>
              <w:tc>
                <w:tcPr>
                  <w:tcW w:w="724" w:type="pct"/>
                  <w:tcBorders>
                    <w:tl2br w:val="nil"/>
                    <w:tr2bl w:val="nil"/>
                  </w:tcBorders>
                  <w:vAlign w:val="center"/>
                </w:tcPr>
                <w:p>
                  <w:pPr>
                    <w:spacing w:line="240" w:lineRule="auto"/>
                    <w:jc w:val="center"/>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二期出口</w:t>
                  </w:r>
                </w:p>
              </w:tc>
              <w:tc>
                <w:tcPr>
                  <w:tcW w:w="54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10.3</w:t>
                  </w:r>
                </w:p>
              </w:tc>
              <w:tc>
                <w:tcPr>
                  <w:tcW w:w="54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16</w:t>
                  </w:r>
                </w:p>
              </w:tc>
              <w:tc>
                <w:tcPr>
                  <w:tcW w:w="54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0.932</w:t>
                  </w:r>
                </w:p>
              </w:tc>
              <w:tc>
                <w:tcPr>
                  <w:tcW w:w="46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1.2</w:t>
                  </w:r>
                </w:p>
              </w:tc>
              <w:tc>
                <w:tcPr>
                  <w:tcW w:w="625" w:type="pct"/>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r>
                    <w:rPr>
                      <w:rFonts w:ascii="Times New Roman" w:hAnsi="Times New Roman" w:cs="Times New Roman"/>
                      <w:color w:val="auto"/>
                      <w:sz w:val="21"/>
                      <w:szCs w:val="21"/>
                    </w:rPr>
                    <w:t>.11</w:t>
                  </w:r>
                </w:p>
              </w:tc>
              <w:tc>
                <w:tcPr>
                  <w:tcW w:w="876" w:type="pct"/>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w:t>
                  </w:r>
                  <w:r>
                    <w:rPr>
                      <w:rFonts w:ascii="Times New Roman" w:hAnsi="Times New Roman" w:cs="Times New Roman"/>
                      <w:color w:val="auto"/>
                      <w:sz w:val="21"/>
                      <w:szCs w:val="21"/>
                    </w:rPr>
                    <w:t>200</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9" w:type="pct"/>
                  <w:gridSpan w:val="2"/>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一级A标准限值</w:t>
                  </w:r>
                </w:p>
              </w:tc>
              <w:tc>
                <w:tcPr>
                  <w:tcW w:w="54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15</w:t>
                  </w:r>
                </w:p>
              </w:tc>
              <w:tc>
                <w:tcPr>
                  <w:tcW w:w="54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50</w:t>
                  </w:r>
                </w:p>
              </w:tc>
              <w:tc>
                <w:tcPr>
                  <w:tcW w:w="54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c>
                <w:tcPr>
                  <w:tcW w:w="46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w:t>
                  </w:r>
                </w:p>
              </w:tc>
              <w:tc>
                <w:tcPr>
                  <w:tcW w:w="625" w:type="pct"/>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r>
                    <w:rPr>
                      <w:rFonts w:ascii="Times New Roman" w:hAnsi="Times New Roman" w:cs="Times New Roman"/>
                      <w:color w:val="auto"/>
                      <w:sz w:val="21"/>
                      <w:szCs w:val="21"/>
                    </w:rPr>
                    <w:t>.5</w:t>
                  </w:r>
                </w:p>
              </w:tc>
              <w:tc>
                <w:tcPr>
                  <w:tcW w:w="876" w:type="pct"/>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w:t>
                  </w:r>
                  <w:r>
                    <w:rPr>
                      <w:rFonts w:ascii="Times New Roman" w:hAnsi="Times New Roman" w:cs="Times New Roman"/>
                      <w:color w:val="auto"/>
                      <w:sz w:val="21"/>
                      <w:szCs w:val="21"/>
                    </w:rPr>
                    <w:t>000</w:t>
                  </w:r>
                </w:p>
              </w:tc>
            </w:tr>
          </w:tbl>
          <w:p>
            <w:pPr>
              <w:ind w:firstLine="480" w:firstLineChars="200"/>
              <w:rPr>
                <w:rFonts w:ascii="Times New Roman" w:hAnsi="Times New Roman" w:cs="Times New Roman"/>
                <w:color w:val="auto"/>
              </w:rPr>
            </w:pPr>
            <w:r>
              <w:rPr>
                <w:rFonts w:ascii="Times New Roman" w:hAnsi="Times New Roman" w:cs="Times New Roman"/>
                <w:color w:val="auto"/>
              </w:rPr>
              <w:t>根据《罗家坡污水处理厂二期扩建工程项目</w:t>
            </w:r>
            <w:r>
              <w:rPr>
                <w:rFonts w:hint="eastAsia" w:ascii="Times New Roman" w:hAnsi="Times New Roman" w:cs="Times New Roman"/>
                <w:color w:val="auto"/>
              </w:rPr>
              <w:t>环境影响报告表</w:t>
            </w:r>
            <w:r>
              <w:rPr>
                <w:rFonts w:ascii="Times New Roman" w:hAnsi="Times New Roman" w:cs="Times New Roman"/>
                <w:color w:val="auto"/>
              </w:rPr>
              <w:t>》，罗家坡污水处理厂二期扩建工程项目设计规模为5×10</w:t>
            </w:r>
            <w:r>
              <w:rPr>
                <w:rFonts w:ascii="Times New Roman" w:hAnsi="Times New Roman" w:cs="Times New Roman"/>
                <w:color w:val="auto"/>
                <w:vertAlign w:val="superscript"/>
              </w:rPr>
              <w:t>4</w:t>
            </w:r>
            <w:r>
              <w:rPr>
                <w:rFonts w:ascii="Times New Roman" w:hAnsi="Times New Roman" w:cs="Times New Roman"/>
                <w:color w:val="auto"/>
              </w:rPr>
              <w:t>m</w:t>
            </w:r>
            <w:r>
              <w:rPr>
                <w:rFonts w:ascii="Times New Roman" w:hAnsi="Times New Roman" w:cs="Times New Roman"/>
                <w:color w:val="auto"/>
                <w:vertAlign w:val="superscript"/>
              </w:rPr>
              <w:t>3</w:t>
            </w:r>
            <w:r>
              <w:rPr>
                <w:rFonts w:ascii="Times New Roman" w:hAnsi="Times New Roman" w:cs="Times New Roman"/>
                <w:color w:val="auto"/>
              </w:rPr>
              <w:t>/d，总用地面积约46亩，采用A</w:t>
            </w:r>
            <w:r>
              <w:rPr>
                <w:rFonts w:ascii="Times New Roman" w:hAnsi="Times New Roman" w:cs="Times New Roman"/>
                <w:color w:val="auto"/>
                <w:vertAlign w:val="superscript"/>
              </w:rPr>
              <w:t>2</w:t>
            </w:r>
            <w:r>
              <w:rPr>
                <w:rFonts w:ascii="Times New Roman" w:hAnsi="Times New Roman" w:cs="Times New Roman"/>
                <w:color w:val="auto"/>
              </w:rPr>
              <w:t>/O工艺。服务范围包括岳阳大道北片、岳阳大道中片、岳阳大道南片、康王片、新华片、木里港片、金凤桥片，至2020年服务范围规划建成区总用地面积23km</w:t>
            </w:r>
            <w:r>
              <w:rPr>
                <w:rFonts w:ascii="Times New Roman" w:hAnsi="Times New Roman" w:cs="Times New Roman"/>
                <w:color w:val="auto"/>
                <w:vertAlign w:val="superscript"/>
              </w:rPr>
              <w:t>2</w:t>
            </w:r>
            <w:r>
              <w:rPr>
                <w:rFonts w:ascii="Times New Roman" w:hAnsi="Times New Roman" w:cs="Times New Roman"/>
                <w:color w:val="auto"/>
              </w:rPr>
              <w:t>，服务人口25万人。目前罗家坡污水处理厂</w:t>
            </w:r>
            <w:r>
              <w:rPr>
                <w:rFonts w:hint="eastAsia" w:ascii="Times New Roman" w:hAnsi="Times New Roman" w:cs="Times New Roman"/>
                <w:color w:val="auto"/>
                <w:lang w:eastAsia="zh-CN"/>
              </w:rPr>
              <w:t>一、</w:t>
            </w:r>
            <w:r>
              <w:rPr>
                <w:rFonts w:ascii="Times New Roman" w:hAnsi="Times New Roman" w:cs="Times New Roman"/>
                <w:color w:val="auto"/>
              </w:rPr>
              <w:t>二期</w:t>
            </w:r>
            <w:r>
              <w:rPr>
                <w:rFonts w:hint="eastAsia" w:ascii="Times New Roman" w:hAnsi="Times New Roman" w:cs="Times New Roman"/>
                <w:color w:val="auto"/>
                <w:lang w:eastAsia="zh-CN"/>
              </w:rPr>
              <w:t>设计污水处理规模为</w:t>
            </w:r>
            <w:r>
              <w:rPr>
                <w:rFonts w:hint="eastAsia" w:ascii="Times New Roman" w:hAnsi="Times New Roman" w:cs="Times New Roman"/>
                <w:color w:val="auto"/>
                <w:lang w:val="en-US" w:eastAsia="zh-CN"/>
              </w:rPr>
              <w:t>1.0</w:t>
            </w:r>
            <w:r>
              <w:rPr>
                <w:rFonts w:ascii="Times New Roman" w:hAnsi="Times New Roman" w:cs="Times New Roman"/>
                <w:color w:val="auto"/>
              </w:rPr>
              <w:t>×10</w:t>
            </w:r>
            <w:r>
              <w:rPr>
                <w:rFonts w:hint="eastAsia" w:ascii="Times New Roman" w:hAnsi="Times New Roman" w:cs="Times New Roman"/>
                <w:color w:val="auto"/>
                <w:vertAlign w:val="superscript"/>
                <w:lang w:val="en-US" w:eastAsia="zh-CN"/>
              </w:rPr>
              <w:t>5</w:t>
            </w:r>
            <w:r>
              <w:rPr>
                <w:rFonts w:ascii="Times New Roman" w:hAnsi="Times New Roman" w:cs="Times New Roman"/>
                <w:color w:val="auto"/>
              </w:rPr>
              <w:t>m</w:t>
            </w:r>
            <w:r>
              <w:rPr>
                <w:rFonts w:ascii="Times New Roman" w:hAnsi="Times New Roman" w:cs="Times New Roman"/>
                <w:color w:val="auto"/>
                <w:vertAlign w:val="superscript"/>
              </w:rPr>
              <w:t>3</w:t>
            </w:r>
            <w:r>
              <w:rPr>
                <w:rFonts w:ascii="Times New Roman" w:hAnsi="Times New Roman" w:cs="Times New Roman"/>
                <w:color w:val="auto"/>
              </w:rPr>
              <w:t>/d</w:t>
            </w:r>
            <w:r>
              <w:rPr>
                <w:rFonts w:hint="eastAsia" w:ascii="Times New Roman" w:hAnsi="Times New Roman" w:cs="Times New Roman"/>
                <w:color w:val="auto"/>
                <w:lang w:eastAsia="zh-CN"/>
              </w:rPr>
              <w:t>，且二期</w:t>
            </w:r>
            <w:r>
              <w:rPr>
                <w:rFonts w:hint="eastAsia" w:ascii="Times New Roman" w:hAnsi="Times New Roman" w:cs="Times New Roman"/>
                <w:color w:val="auto"/>
              </w:rPr>
              <w:t>已投入运营。</w:t>
            </w:r>
          </w:p>
          <w:p>
            <w:pPr>
              <w:numPr>
                <w:ilvl w:val="0"/>
                <w:numId w:val="6"/>
              </w:numPr>
              <w:spacing w:line="360" w:lineRule="auto"/>
              <w:ind w:firstLine="562" w:firstLineChars="200"/>
              <w:rPr>
                <w:rFonts w:ascii="Times New Roman" w:hAnsi="Times New Roman" w:eastAsia="宋体" w:cs="Times New Roman"/>
                <w:b/>
                <w:color w:val="auto"/>
                <w:sz w:val="28"/>
              </w:rPr>
            </w:pPr>
            <w:r>
              <w:rPr>
                <w:rFonts w:ascii="Times New Roman" w:hAnsi="Times New Roman" w:eastAsia="宋体" w:cs="Times New Roman"/>
                <w:b/>
                <w:color w:val="auto"/>
                <w:sz w:val="28"/>
              </w:rPr>
              <w:t>区域环境功能</w:t>
            </w:r>
          </w:p>
          <w:p>
            <w:pPr>
              <w:ind w:firstLine="480" w:firstLineChars="200"/>
              <w:rPr>
                <w:rFonts w:ascii="Times New Roman" w:hAnsi="Times New Roman" w:cs="Times New Roman"/>
                <w:color w:val="auto"/>
              </w:rPr>
            </w:pPr>
            <w:r>
              <w:rPr>
                <w:rFonts w:ascii="Times New Roman" w:hAnsi="Times New Roman" w:cs="Times New Roman"/>
                <w:color w:val="auto"/>
              </w:rPr>
              <w:t>本项目所在地环境功能属性见表2-2。</w:t>
            </w:r>
          </w:p>
          <w:p>
            <w:pPr>
              <w:pStyle w:val="2"/>
              <w:jc w:val="center"/>
              <w:rPr>
                <w:rFonts w:ascii="Times New Roman" w:hAnsi="Times New Roman" w:cs="Times New Roman"/>
                <w:color w:val="auto"/>
              </w:rPr>
            </w:pPr>
            <w:r>
              <w:rPr>
                <w:rFonts w:ascii="Times New Roman" w:hAnsi="Times New Roman" w:cs="Times New Roman"/>
                <w:b/>
                <w:color w:val="auto"/>
              </w:rPr>
              <w:t>表2-2  项目拟选址环境功能属性</w:t>
            </w:r>
          </w:p>
          <w:tbl>
            <w:tblPr>
              <w:tblStyle w:val="17"/>
              <w:tblW w:w="9072" w:type="dxa"/>
              <w:jc w:val="center"/>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Layout w:type="autofit"/>
              <w:tblCellMar>
                <w:top w:w="0" w:type="dxa"/>
                <w:left w:w="108" w:type="dxa"/>
                <w:bottom w:w="0" w:type="dxa"/>
                <w:right w:w="108" w:type="dxa"/>
              </w:tblCellMar>
            </w:tblPr>
            <w:tblGrid>
              <w:gridCol w:w="712"/>
              <w:gridCol w:w="3031"/>
              <w:gridCol w:w="1427"/>
              <w:gridCol w:w="2941"/>
              <w:gridCol w:w="961"/>
            </w:tblGrid>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bottom w:val="single" w:color="000000"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编号</w:t>
                  </w:r>
                </w:p>
              </w:tc>
              <w:tc>
                <w:tcPr>
                  <w:tcW w:w="3031" w:type="dxa"/>
                  <w:tcBorders>
                    <w:bottom w:val="single" w:color="000000"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项目</w:t>
                  </w:r>
                </w:p>
              </w:tc>
              <w:tc>
                <w:tcPr>
                  <w:tcW w:w="5329" w:type="dxa"/>
                  <w:gridSpan w:val="3"/>
                  <w:tcBorders>
                    <w:bottom w:val="single" w:color="000000"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功能属性及执行标准</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vMerge w:val="restart"/>
                  <w:tcBorders>
                    <w:top w:val="single" w:color="000000"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3031" w:type="dxa"/>
                  <w:vMerge w:val="restart"/>
                  <w:tcBorders>
                    <w:top w:val="single" w:color="000000"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水环境功能区</w:t>
                  </w:r>
                </w:p>
              </w:tc>
              <w:tc>
                <w:tcPr>
                  <w:tcW w:w="1427" w:type="dxa"/>
                  <w:tcBorders>
                    <w:top w:val="single" w:color="000000"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南湖</w:t>
                  </w:r>
                </w:p>
              </w:tc>
              <w:tc>
                <w:tcPr>
                  <w:tcW w:w="2941" w:type="dxa"/>
                  <w:tcBorders>
                    <w:top w:val="single" w:color="000000"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景观用水</w:t>
                  </w:r>
                </w:p>
              </w:tc>
              <w:tc>
                <w:tcPr>
                  <w:tcW w:w="961" w:type="dxa"/>
                  <w:tcBorders>
                    <w:top w:val="single" w:color="000000"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III类</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3031"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427" w:type="dxa"/>
                  <w:tcBorders>
                    <w:top w:val="single" w:color="000000" w:sz="12" w:space="0"/>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北港河</w:t>
                  </w:r>
                </w:p>
              </w:tc>
              <w:tc>
                <w:tcPr>
                  <w:tcW w:w="2941" w:type="dxa"/>
                  <w:tcBorders>
                    <w:top w:val="single" w:color="000000"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景观用水</w:t>
                  </w:r>
                </w:p>
              </w:tc>
              <w:tc>
                <w:tcPr>
                  <w:tcW w:w="961" w:type="dxa"/>
                  <w:tcBorders>
                    <w:top w:val="single" w:color="000000"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III类</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环境空气质量功能区</w:t>
                  </w:r>
                </w:p>
              </w:tc>
              <w:tc>
                <w:tcPr>
                  <w:tcW w:w="5329"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二类区，环境空气质量执行《环境空气质量标准》</w:t>
                  </w:r>
                </w:p>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（GB3095-2012）中的二级标准</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3</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声环境功能区</w:t>
                  </w:r>
                </w:p>
              </w:tc>
              <w:tc>
                <w:tcPr>
                  <w:tcW w:w="5329"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《声环境质量标准》（GB3096-2008）</w:t>
                  </w:r>
                  <w:r>
                    <w:rPr>
                      <w:rFonts w:hint="eastAsia" w:ascii="Times New Roman" w:hAnsi="Times New Roman" w:cs="Times New Roman"/>
                      <w:color w:val="auto"/>
                      <w:sz w:val="21"/>
                      <w:szCs w:val="21"/>
                    </w:rPr>
                    <w:t>2</w:t>
                  </w:r>
                  <w:r>
                    <w:rPr>
                      <w:rFonts w:ascii="Times New Roman" w:hAnsi="Times New Roman" w:cs="Times New Roman"/>
                      <w:color w:val="auto"/>
                      <w:sz w:val="21"/>
                      <w:szCs w:val="21"/>
                    </w:rPr>
                    <w:t>类标准</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是否基本农田保护区</w:t>
                  </w:r>
                </w:p>
              </w:tc>
              <w:tc>
                <w:tcPr>
                  <w:tcW w:w="5329"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是否森林公园</w:t>
                  </w:r>
                </w:p>
              </w:tc>
              <w:tc>
                <w:tcPr>
                  <w:tcW w:w="5329"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是否生态功能保护区</w:t>
                  </w:r>
                </w:p>
              </w:tc>
              <w:tc>
                <w:tcPr>
                  <w:tcW w:w="5329"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7</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是否水土流失重点防治区</w:t>
                  </w:r>
                </w:p>
              </w:tc>
              <w:tc>
                <w:tcPr>
                  <w:tcW w:w="5329"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8</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是否人口密集区</w:t>
                  </w:r>
                </w:p>
              </w:tc>
              <w:tc>
                <w:tcPr>
                  <w:tcW w:w="5329" w:type="dxa"/>
                  <w:gridSpan w:val="3"/>
                  <w:tcBorders>
                    <w:tl2br w:val="nil"/>
                    <w:tr2bl w:val="nil"/>
                  </w:tcBorders>
                  <w:vAlign w:val="center"/>
                </w:tcPr>
                <w:p>
                  <w:pPr>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是</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9</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是否重点文物保护单位</w:t>
                  </w:r>
                </w:p>
              </w:tc>
              <w:tc>
                <w:tcPr>
                  <w:tcW w:w="5329"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是否三河、三湖、两控区</w:t>
                  </w:r>
                </w:p>
              </w:tc>
              <w:tc>
                <w:tcPr>
                  <w:tcW w:w="5329"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是“两控区”</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11</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是否水库库区</w:t>
                  </w:r>
                </w:p>
              </w:tc>
              <w:tc>
                <w:tcPr>
                  <w:tcW w:w="5329"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12</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是否污水处理厂集水范围</w:t>
                  </w:r>
                </w:p>
              </w:tc>
              <w:tc>
                <w:tcPr>
                  <w:tcW w:w="5329"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是（罗家坡污水处理厂）</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13</w:t>
                  </w:r>
                </w:p>
              </w:tc>
              <w:tc>
                <w:tcPr>
                  <w:tcW w:w="3031"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是否属于生态敏感与脆弱区</w:t>
                  </w:r>
                </w:p>
              </w:tc>
              <w:tc>
                <w:tcPr>
                  <w:tcW w:w="5329"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否</w:t>
                  </w:r>
                </w:p>
              </w:tc>
            </w:tr>
          </w:tbl>
          <w:p>
            <w:pPr>
              <w:pStyle w:val="2"/>
              <w:jc w:val="center"/>
              <w:rPr>
                <w:rFonts w:ascii="Times New Roman" w:hAnsi="Times New Roman" w:cs="Times New Roman"/>
                <w:color w:val="auto"/>
              </w:rPr>
            </w:pPr>
          </w:p>
        </w:tc>
      </w:tr>
    </w:tbl>
    <w:p>
      <w:pPr>
        <w:rPr>
          <w:color w:val="auto"/>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4"/>
        <w:rPr>
          <w:bCs/>
          <w:color w:val="auto"/>
        </w:rPr>
      </w:pPr>
      <w:bookmarkStart w:id="3" w:name="_Toc28697"/>
      <w:r>
        <w:rPr>
          <w:rFonts w:hint="eastAsia"/>
          <w:bCs/>
          <w:color w:val="auto"/>
        </w:rPr>
        <w:t>三、环境质量状况</w:t>
      </w:r>
      <w:bookmarkEnd w:id="3"/>
    </w:p>
    <w:tbl>
      <w:tblPr>
        <w:tblStyle w:val="18"/>
        <w:tblW w:w="9288"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9288"/>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9288" w:type="dxa"/>
            <w:tcBorders>
              <w:tl2br w:val="nil"/>
              <w:tr2bl w:val="nil"/>
            </w:tcBorders>
          </w:tcPr>
          <w:p>
            <w:pPr>
              <w:spacing w:line="360" w:lineRule="auto"/>
              <w:ind w:right="120" w:rightChars="50"/>
              <w:rPr>
                <w:rFonts w:ascii="Times New Roman" w:hAnsi="Times New Roman" w:cs="Times New Roman"/>
                <w:b/>
                <w:bCs/>
                <w:color w:val="auto"/>
              </w:rPr>
            </w:pPr>
            <w:r>
              <w:rPr>
                <w:rFonts w:ascii="Times New Roman" w:hAnsi="Times New Roman" w:cs="Times New Roman"/>
                <w:b/>
                <w:bCs/>
                <w:color w:val="auto"/>
              </w:rPr>
              <w:t>建设项目所在地区域环境质量现状及主要环境问题（环境空气、地面水、地下水、声环境、生态环境）</w:t>
            </w:r>
          </w:p>
          <w:p>
            <w:pPr>
              <w:pStyle w:val="5"/>
              <w:ind w:firstLine="562"/>
              <w:outlineLvl w:val="1"/>
              <w:rPr>
                <w:rFonts w:cs="Times New Roman"/>
                <w:color w:val="auto"/>
              </w:rPr>
            </w:pPr>
            <w:r>
              <w:rPr>
                <w:rFonts w:cs="Times New Roman"/>
                <w:color w:val="auto"/>
              </w:rPr>
              <w:t>1、环境空气质量状况</w:t>
            </w:r>
          </w:p>
          <w:p>
            <w:pPr>
              <w:ind w:firstLine="480" w:firstLineChars="200"/>
              <w:rPr>
                <w:rFonts w:ascii="Times New Roman" w:hAnsi="Times New Roman" w:cs="Times New Roman"/>
                <w:color w:val="auto"/>
              </w:rPr>
            </w:pPr>
            <w:r>
              <w:rPr>
                <w:rFonts w:ascii="Times New Roman" w:hAnsi="Times New Roman" w:cs="Times New Roman"/>
                <w:color w:val="auto"/>
              </w:rPr>
              <w:t>根据岳阳市人民政府公示的《岳阳市2018年度环境质量公报》</w:t>
            </w:r>
            <w:r>
              <w:rPr>
                <w:rFonts w:hint="eastAsia" w:ascii="Times New Roman" w:hAnsi="Times New Roman" w:cs="Times New Roman"/>
                <w:color w:val="auto"/>
              </w:rPr>
              <w:t>和</w:t>
            </w:r>
            <w:r>
              <w:rPr>
                <w:rFonts w:ascii="Times New Roman" w:hAnsi="Times New Roman" w:cs="Times New Roman"/>
                <w:color w:val="auto"/>
              </w:rPr>
              <w:t>《岳阳市201</w:t>
            </w:r>
            <w:r>
              <w:rPr>
                <w:rFonts w:hint="eastAsia" w:ascii="Times New Roman" w:hAnsi="Times New Roman" w:cs="Times New Roman"/>
                <w:color w:val="auto"/>
              </w:rPr>
              <w:t>9</w:t>
            </w:r>
            <w:r>
              <w:rPr>
                <w:rFonts w:ascii="Times New Roman" w:hAnsi="Times New Roman" w:cs="Times New Roman"/>
                <w:color w:val="auto"/>
              </w:rPr>
              <w:t>年度</w:t>
            </w:r>
            <w:r>
              <w:rPr>
                <w:rFonts w:hint="eastAsia" w:ascii="Times New Roman" w:hAnsi="Times New Roman" w:cs="Times New Roman"/>
                <w:color w:val="auto"/>
              </w:rPr>
              <w:t>生态</w:t>
            </w:r>
            <w:r>
              <w:rPr>
                <w:rFonts w:ascii="Times New Roman" w:hAnsi="Times New Roman" w:cs="Times New Roman"/>
                <w:color w:val="auto"/>
              </w:rPr>
              <w:t>环境质量公报》，</w:t>
            </w:r>
            <w:r>
              <w:rPr>
                <w:rFonts w:hint="eastAsia" w:ascii="Times New Roman" w:hAnsi="Times New Roman" w:cs="Times New Roman"/>
                <w:color w:val="auto"/>
              </w:rPr>
              <w:t>岳阳市环境空气质量现状监测数据如下：</w:t>
            </w:r>
          </w:p>
          <w:p>
            <w:pPr>
              <w:pStyle w:val="2"/>
              <w:spacing w:after="0" w:line="360" w:lineRule="auto"/>
              <w:jc w:val="center"/>
              <w:rPr>
                <w:rFonts w:ascii="Times New Roman" w:hAnsi="Times New Roman" w:cs="Times New Roman"/>
                <w:color w:val="auto"/>
              </w:rPr>
            </w:pPr>
            <w:r>
              <w:rPr>
                <w:rFonts w:ascii="Times New Roman" w:hAnsi="Times New Roman" w:cs="Times New Roman"/>
                <w:b/>
                <w:bCs/>
                <w:color w:val="auto"/>
                <w:highlight w:val="none"/>
              </w:rPr>
              <w:t>表3-1  岳阳市环境空气质量状况</w:t>
            </w:r>
          </w:p>
          <w:tbl>
            <w:tblPr>
              <w:tblStyle w:val="17"/>
              <w:tblW w:w="4997"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710"/>
              <w:gridCol w:w="695"/>
              <w:gridCol w:w="695"/>
              <w:gridCol w:w="799"/>
              <w:gridCol w:w="1540"/>
              <w:gridCol w:w="1672"/>
              <w:gridCol w:w="977"/>
              <w:gridCol w:w="576"/>
              <w:gridCol w:w="561"/>
              <w:gridCol w:w="842"/>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391" w:type="pct"/>
                  <w:tcBorders>
                    <w:bottom w:val="single" w:color="000000" w:sz="12" w:space="0"/>
                  </w:tcBorders>
                  <w:shd w:val="clear" w:color="auto" w:fill="auto"/>
                  <w:tcMar>
                    <w:top w:w="0" w:type="dxa"/>
                  </w:tcMar>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时间</w:t>
                  </w:r>
                </w:p>
              </w:tc>
              <w:tc>
                <w:tcPr>
                  <w:tcW w:w="383" w:type="pct"/>
                  <w:tcBorders>
                    <w:bottom w:val="single" w:color="000000" w:sz="12" w:space="0"/>
                  </w:tcBorders>
                  <w:shd w:val="clear" w:color="auto" w:fill="auto"/>
                  <w:tcMar>
                    <w:top w:w="0" w:type="dxa"/>
                  </w:tcMar>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SO</w:t>
                  </w:r>
                  <w:r>
                    <w:rPr>
                      <w:rFonts w:ascii="Times New Roman" w:hAnsi="Times New Roman" w:cs="Times New Roman"/>
                      <w:b/>
                      <w:bCs/>
                      <w:color w:val="auto"/>
                      <w:sz w:val="21"/>
                      <w:szCs w:val="21"/>
                      <w:vertAlign w:val="subscript"/>
                    </w:rPr>
                    <w:t>2</w:t>
                  </w:r>
                </w:p>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ug/m</w:t>
                  </w:r>
                  <w:r>
                    <w:rPr>
                      <w:rFonts w:ascii="Times New Roman" w:hAnsi="Times New Roman" w:cs="Times New Roman"/>
                      <w:b/>
                      <w:bCs/>
                      <w:color w:val="auto"/>
                      <w:sz w:val="21"/>
                      <w:szCs w:val="21"/>
                      <w:vertAlign w:val="superscript"/>
                    </w:rPr>
                    <w:t>3</w:t>
                  </w:r>
                </w:p>
              </w:tc>
              <w:tc>
                <w:tcPr>
                  <w:tcW w:w="383" w:type="pct"/>
                  <w:tcBorders>
                    <w:bottom w:val="single" w:color="000000" w:sz="12" w:space="0"/>
                  </w:tcBorders>
                  <w:shd w:val="clear" w:color="auto" w:fill="auto"/>
                  <w:tcMar>
                    <w:top w:w="0" w:type="dxa"/>
                  </w:tcMar>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NO</w:t>
                  </w:r>
                  <w:r>
                    <w:rPr>
                      <w:rFonts w:ascii="Times New Roman" w:hAnsi="Times New Roman" w:cs="Times New Roman"/>
                      <w:b/>
                      <w:bCs/>
                      <w:color w:val="auto"/>
                      <w:sz w:val="21"/>
                      <w:szCs w:val="21"/>
                      <w:vertAlign w:val="subscript"/>
                    </w:rPr>
                    <w:t>2</w:t>
                  </w:r>
                </w:p>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ug/m</w:t>
                  </w:r>
                  <w:r>
                    <w:rPr>
                      <w:rFonts w:ascii="Times New Roman" w:hAnsi="Times New Roman" w:cs="Times New Roman"/>
                      <w:b/>
                      <w:bCs/>
                      <w:color w:val="auto"/>
                      <w:sz w:val="21"/>
                      <w:szCs w:val="21"/>
                      <w:vertAlign w:val="superscript"/>
                    </w:rPr>
                    <w:t>3</w:t>
                  </w:r>
                </w:p>
              </w:tc>
              <w:tc>
                <w:tcPr>
                  <w:tcW w:w="440" w:type="pct"/>
                  <w:tcBorders>
                    <w:bottom w:val="single" w:color="000000" w:sz="12" w:space="0"/>
                  </w:tcBorders>
                  <w:shd w:val="clear" w:color="auto" w:fill="auto"/>
                  <w:tcMar>
                    <w:top w:w="0" w:type="dxa"/>
                  </w:tcMar>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PM</w:t>
                  </w:r>
                  <w:r>
                    <w:rPr>
                      <w:rFonts w:ascii="Times New Roman" w:hAnsi="Times New Roman" w:cs="Times New Roman"/>
                      <w:b/>
                      <w:bCs/>
                      <w:color w:val="auto"/>
                      <w:sz w:val="21"/>
                      <w:szCs w:val="21"/>
                      <w:vertAlign w:val="subscript"/>
                    </w:rPr>
                    <w:t>10</w:t>
                  </w:r>
                </w:p>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ug/m</w:t>
                  </w:r>
                  <w:r>
                    <w:rPr>
                      <w:rFonts w:ascii="Times New Roman" w:hAnsi="Times New Roman" w:cs="Times New Roman"/>
                      <w:b/>
                      <w:bCs/>
                      <w:color w:val="auto"/>
                      <w:sz w:val="21"/>
                      <w:szCs w:val="21"/>
                      <w:vertAlign w:val="superscript"/>
                    </w:rPr>
                    <w:t>3</w:t>
                  </w:r>
                </w:p>
              </w:tc>
              <w:tc>
                <w:tcPr>
                  <w:tcW w:w="848" w:type="pct"/>
                  <w:tcBorders>
                    <w:bottom w:val="single" w:color="000000" w:sz="12" w:space="0"/>
                  </w:tcBorders>
                  <w:shd w:val="clear" w:color="auto" w:fill="auto"/>
                  <w:tcMar>
                    <w:top w:w="0" w:type="dxa"/>
                  </w:tcMar>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CO  mg/m</w:t>
                  </w:r>
                  <w:r>
                    <w:rPr>
                      <w:rFonts w:ascii="Times New Roman" w:hAnsi="Times New Roman" w:cs="Times New Roman"/>
                      <w:b/>
                      <w:bCs/>
                      <w:color w:val="auto"/>
                      <w:sz w:val="21"/>
                      <w:szCs w:val="21"/>
                      <w:vertAlign w:val="superscript"/>
                    </w:rPr>
                    <w:t>3</w:t>
                  </w:r>
                </w:p>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(第95百分位数)</w:t>
                  </w:r>
                </w:p>
              </w:tc>
              <w:tc>
                <w:tcPr>
                  <w:tcW w:w="921" w:type="pct"/>
                  <w:tcBorders>
                    <w:bottom w:val="single" w:color="000000" w:sz="12" w:space="0"/>
                  </w:tcBorders>
                  <w:shd w:val="clear" w:color="auto" w:fill="auto"/>
                  <w:tcMar>
                    <w:top w:w="0" w:type="dxa"/>
                  </w:tcMar>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O</w:t>
                  </w:r>
                  <w:r>
                    <w:rPr>
                      <w:rFonts w:ascii="Times New Roman" w:hAnsi="Times New Roman" w:cs="Times New Roman"/>
                      <w:b/>
                      <w:bCs/>
                      <w:color w:val="auto"/>
                      <w:sz w:val="21"/>
                      <w:szCs w:val="21"/>
                      <w:vertAlign w:val="subscript"/>
                    </w:rPr>
                    <w:t>3</w:t>
                  </w:r>
                  <w:r>
                    <w:rPr>
                      <w:rFonts w:ascii="Times New Roman" w:hAnsi="Times New Roman" w:cs="Times New Roman"/>
                      <w:b/>
                      <w:bCs/>
                      <w:color w:val="auto"/>
                      <w:sz w:val="21"/>
                      <w:szCs w:val="21"/>
                    </w:rPr>
                    <w:t>_8h  ug/m</w:t>
                  </w:r>
                  <w:r>
                    <w:rPr>
                      <w:rFonts w:ascii="Times New Roman" w:hAnsi="Times New Roman" w:cs="Times New Roman"/>
                      <w:b/>
                      <w:bCs/>
                      <w:color w:val="auto"/>
                      <w:sz w:val="21"/>
                      <w:szCs w:val="21"/>
                      <w:vertAlign w:val="superscript"/>
                    </w:rPr>
                    <w:t>3</w:t>
                  </w:r>
                </w:p>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(第90百分位数)</w:t>
                  </w:r>
                </w:p>
              </w:tc>
              <w:tc>
                <w:tcPr>
                  <w:tcW w:w="538" w:type="pct"/>
                  <w:tcBorders>
                    <w:bottom w:val="single" w:color="000000" w:sz="12" w:space="0"/>
                  </w:tcBorders>
                  <w:shd w:val="clear" w:color="auto" w:fill="auto"/>
                  <w:tcMar>
                    <w:top w:w="0" w:type="dxa"/>
                  </w:tcMar>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PM</w:t>
                  </w:r>
                  <w:r>
                    <w:rPr>
                      <w:rFonts w:ascii="Times New Roman" w:hAnsi="Times New Roman" w:cs="Times New Roman"/>
                      <w:b/>
                      <w:bCs/>
                      <w:color w:val="auto"/>
                      <w:sz w:val="21"/>
                      <w:szCs w:val="21"/>
                      <w:vertAlign w:val="subscript"/>
                    </w:rPr>
                    <w:t>2.5</w:t>
                  </w:r>
                  <w:r>
                    <w:rPr>
                      <w:rFonts w:ascii="Times New Roman" w:hAnsi="Times New Roman" w:cs="Times New Roman"/>
                      <w:b/>
                      <w:bCs/>
                      <w:color w:val="auto"/>
                      <w:sz w:val="21"/>
                      <w:szCs w:val="21"/>
                    </w:rPr>
                    <w:t xml:space="preserve"> ug/m</w:t>
                  </w:r>
                  <w:r>
                    <w:rPr>
                      <w:rFonts w:ascii="Times New Roman" w:hAnsi="Times New Roman" w:cs="Times New Roman"/>
                      <w:b/>
                      <w:bCs/>
                      <w:color w:val="auto"/>
                      <w:sz w:val="21"/>
                      <w:szCs w:val="21"/>
                      <w:vertAlign w:val="superscript"/>
                    </w:rPr>
                    <w:t>3</w:t>
                  </w:r>
                </w:p>
              </w:tc>
              <w:tc>
                <w:tcPr>
                  <w:tcW w:w="317" w:type="pct"/>
                  <w:tcBorders>
                    <w:bottom w:val="single" w:color="000000" w:sz="12" w:space="0"/>
                  </w:tcBorders>
                  <w:shd w:val="clear" w:color="auto" w:fill="auto"/>
                  <w:tcMar>
                    <w:top w:w="0" w:type="dxa"/>
                  </w:tcMar>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达标天数</w:t>
                  </w:r>
                </w:p>
              </w:tc>
              <w:tc>
                <w:tcPr>
                  <w:tcW w:w="309" w:type="pct"/>
                  <w:tcBorders>
                    <w:bottom w:val="single" w:color="000000" w:sz="12" w:space="0"/>
                  </w:tcBorders>
                  <w:shd w:val="clear" w:color="auto" w:fill="auto"/>
                  <w:tcMar>
                    <w:top w:w="0" w:type="dxa"/>
                  </w:tcMar>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有效天数</w:t>
                  </w:r>
                </w:p>
              </w:tc>
              <w:tc>
                <w:tcPr>
                  <w:tcW w:w="464" w:type="pct"/>
                  <w:tcBorders>
                    <w:bottom w:val="single" w:color="000000" w:sz="12" w:space="0"/>
                  </w:tcBorders>
                  <w:shd w:val="clear" w:color="auto" w:fill="auto"/>
                  <w:tcMar>
                    <w:top w:w="0" w:type="dxa"/>
                  </w:tcMar>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达标率</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391" w:type="pct"/>
                  <w:tcBorders>
                    <w:top w:val="single" w:color="000000" w:sz="12" w:space="0"/>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2018年</w:t>
                  </w:r>
                </w:p>
              </w:tc>
              <w:tc>
                <w:tcPr>
                  <w:tcW w:w="383" w:type="pct"/>
                  <w:tcBorders>
                    <w:top w:val="single" w:color="000000" w:sz="12" w:space="0"/>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c>
                <w:tcPr>
                  <w:tcW w:w="383" w:type="pct"/>
                  <w:tcBorders>
                    <w:top w:val="single" w:color="000000" w:sz="12" w:space="0"/>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23</w:t>
                  </w:r>
                </w:p>
              </w:tc>
              <w:tc>
                <w:tcPr>
                  <w:tcW w:w="440" w:type="pct"/>
                  <w:tcBorders>
                    <w:top w:val="single" w:color="000000" w:sz="12" w:space="0"/>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72</w:t>
                  </w:r>
                </w:p>
              </w:tc>
              <w:tc>
                <w:tcPr>
                  <w:tcW w:w="848" w:type="pct"/>
                  <w:tcBorders>
                    <w:top w:val="single" w:color="000000" w:sz="12" w:space="0"/>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1.4</w:t>
                  </w:r>
                </w:p>
              </w:tc>
              <w:tc>
                <w:tcPr>
                  <w:tcW w:w="921" w:type="pct"/>
                  <w:tcBorders>
                    <w:top w:val="single" w:color="000000" w:sz="12" w:space="0"/>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155</w:t>
                  </w:r>
                </w:p>
              </w:tc>
              <w:tc>
                <w:tcPr>
                  <w:tcW w:w="538" w:type="pct"/>
                  <w:tcBorders>
                    <w:top w:val="single" w:color="000000" w:sz="12" w:space="0"/>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45</w:t>
                  </w:r>
                </w:p>
              </w:tc>
              <w:tc>
                <w:tcPr>
                  <w:tcW w:w="317" w:type="pct"/>
                  <w:tcBorders>
                    <w:top w:val="single" w:color="000000" w:sz="12" w:space="0"/>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283</w:t>
                  </w:r>
                </w:p>
              </w:tc>
              <w:tc>
                <w:tcPr>
                  <w:tcW w:w="309" w:type="pct"/>
                  <w:tcBorders>
                    <w:top w:val="single" w:color="000000" w:sz="12" w:space="0"/>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360</w:t>
                  </w:r>
                </w:p>
              </w:tc>
              <w:tc>
                <w:tcPr>
                  <w:tcW w:w="464" w:type="pct"/>
                  <w:tcBorders>
                    <w:top w:val="single" w:color="000000" w:sz="12" w:space="0"/>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78.6%</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391"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201</w:t>
                  </w:r>
                  <w:r>
                    <w:rPr>
                      <w:rFonts w:hint="eastAsia" w:ascii="Times New Roman" w:hAnsi="Times New Roman" w:cs="Times New Roman"/>
                      <w:color w:val="auto"/>
                      <w:sz w:val="21"/>
                      <w:szCs w:val="21"/>
                    </w:rPr>
                    <w:t>9</w:t>
                  </w:r>
                  <w:r>
                    <w:rPr>
                      <w:rFonts w:ascii="Times New Roman" w:hAnsi="Times New Roman" w:cs="Times New Roman"/>
                      <w:color w:val="auto"/>
                      <w:sz w:val="21"/>
                      <w:szCs w:val="21"/>
                    </w:rPr>
                    <w:t>年</w:t>
                  </w:r>
                </w:p>
              </w:tc>
              <w:tc>
                <w:tcPr>
                  <w:tcW w:w="383"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9</w:t>
                  </w:r>
                </w:p>
              </w:tc>
              <w:tc>
                <w:tcPr>
                  <w:tcW w:w="383"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17</w:t>
                  </w:r>
                </w:p>
              </w:tc>
              <w:tc>
                <w:tcPr>
                  <w:tcW w:w="440"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68</w:t>
                  </w:r>
                </w:p>
              </w:tc>
              <w:tc>
                <w:tcPr>
                  <w:tcW w:w="848"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1.4</w:t>
                  </w:r>
                </w:p>
              </w:tc>
              <w:tc>
                <w:tcPr>
                  <w:tcW w:w="921"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164</w:t>
                  </w:r>
                </w:p>
              </w:tc>
              <w:tc>
                <w:tcPr>
                  <w:tcW w:w="538"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43</w:t>
                  </w:r>
                </w:p>
              </w:tc>
              <w:tc>
                <w:tcPr>
                  <w:tcW w:w="317"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294</w:t>
                  </w:r>
                </w:p>
              </w:tc>
              <w:tc>
                <w:tcPr>
                  <w:tcW w:w="309"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365</w:t>
                  </w:r>
                </w:p>
              </w:tc>
              <w:tc>
                <w:tcPr>
                  <w:tcW w:w="464"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80.5</w:t>
                  </w:r>
                  <w:r>
                    <w:rPr>
                      <w:rFonts w:ascii="Times New Roman" w:hAnsi="Times New Roman" w:cs="Times New Roman"/>
                      <w:color w:val="auto"/>
                      <w:sz w:val="21"/>
                      <w:szCs w:val="21"/>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391"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标准</w:t>
                  </w:r>
                </w:p>
              </w:tc>
              <w:tc>
                <w:tcPr>
                  <w:tcW w:w="383"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60</w:t>
                  </w:r>
                </w:p>
              </w:tc>
              <w:tc>
                <w:tcPr>
                  <w:tcW w:w="383"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40</w:t>
                  </w:r>
                </w:p>
              </w:tc>
              <w:tc>
                <w:tcPr>
                  <w:tcW w:w="440"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70</w:t>
                  </w:r>
                </w:p>
              </w:tc>
              <w:tc>
                <w:tcPr>
                  <w:tcW w:w="848"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w:t>
                  </w:r>
                </w:p>
              </w:tc>
              <w:tc>
                <w:tcPr>
                  <w:tcW w:w="921"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160</w:t>
                  </w:r>
                </w:p>
              </w:tc>
              <w:tc>
                <w:tcPr>
                  <w:tcW w:w="538"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35</w:t>
                  </w:r>
                </w:p>
              </w:tc>
              <w:tc>
                <w:tcPr>
                  <w:tcW w:w="317"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w:t>
                  </w:r>
                </w:p>
              </w:tc>
              <w:tc>
                <w:tcPr>
                  <w:tcW w:w="309"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w:t>
                  </w:r>
                </w:p>
              </w:tc>
              <w:tc>
                <w:tcPr>
                  <w:tcW w:w="464" w:type="pct"/>
                  <w:tcBorders>
                    <w:tl2br w:val="nil"/>
                    <w:tr2bl w:val="nil"/>
                  </w:tcBorders>
                  <w:shd w:val="clear" w:color="auto" w:fill="auto"/>
                  <w:tcMar>
                    <w:top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w:t>
                  </w:r>
                </w:p>
              </w:tc>
            </w:tr>
          </w:tbl>
          <w:p>
            <w:pPr>
              <w:ind w:firstLine="480" w:firstLineChars="200"/>
              <w:rPr>
                <w:rFonts w:hint="eastAsia" w:ascii="Times New Roman" w:hAnsi="Times New Roman" w:cs="Times New Roman" w:eastAsiaTheme="minorEastAsia"/>
                <w:color w:val="auto"/>
                <w:vertAlign w:val="baseline"/>
                <w:lang w:val="en-US" w:eastAsia="zh-CN"/>
              </w:rPr>
            </w:pPr>
            <w:r>
              <w:rPr>
                <w:rFonts w:ascii="Times New Roman" w:hAnsi="Times New Roman" w:cs="Times New Roman"/>
                <w:color w:val="auto"/>
              </w:rPr>
              <w:t>根据表3-1可知，</w:t>
            </w:r>
            <w:r>
              <w:rPr>
                <w:rFonts w:ascii="Times New Roman" w:hAnsi="Times New Roman" w:cs="Times New Roman"/>
                <w:color w:val="auto"/>
                <w:u w:val="single"/>
              </w:rPr>
              <w:t>2018年度岳阳市环境空气质量指标基本污染物中PM</w:t>
            </w:r>
            <w:r>
              <w:rPr>
                <w:rFonts w:ascii="Times New Roman" w:hAnsi="Times New Roman" w:cs="Times New Roman"/>
                <w:color w:val="auto"/>
                <w:u w:val="single"/>
                <w:vertAlign w:val="subscript"/>
              </w:rPr>
              <w:t>10</w:t>
            </w:r>
            <w:r>
              <w:rPr>
                <w:rFonts w:ascii="Times New Roman" w:hAnsi="Times New Roman" w:cs="Times New Roman"/>
                <w:color w:val="auto"/>
                <w:u w:val="single"/>
              </w:rPr>
              <w:t>和PM</w:t>
            </w:r>
            <w:r>
              <w:rPr>
                <w:rFonts w:ascii="Times New Roman" w:hAnsi="Times New Roman" w:cs="Times New Roman"/>
                <w:color w:val="auto"/>
                <w:u w:val="single"/>
                <w:vertAlign w:val="subscript"/>
              </w:rPr>
              <w:t>2.5</w:t>
            </w:r>
            <w:r>
              <w:rPr>
                <w:rFonts w:ascii="Times New Roman" w:hAnsi="Times New Roman" w:cs="Times New Roman"/>
                <w:color w:val="auto"/>
                <w:u w:val="single"/>
              </w:rPr>
              <w:t>不能达到《环境空气质量标准》（GB3095-2012）二级标准，其它各项因子均达标。</w:t>
            </w:r>
            <w:r>
              <w:rPr>
                <w:rFonts w:hint="eastAsia" w:ascii="Times New Roman" w:hAnsi="Times New Roman" w:cs="Times New Roman"/>
                <w:color w:val="auto"/>
                <w:u w:val="single"/>
              </w:rPr>
              <w:t>2019年度O</w:t>
            </w:r>
            <w:r>
              <w:rPr>
                <w:rFonts w:hint="eastAsia" w:ascii="Times New Roman" w:hAnsi="Times New Roman" w:cs="Times New Roman"/>
                <w:color w:val="auto"/>
                <w:u w:val="single"/>
                <w:vertAlign w:val="subscript"/>
              </w:rPr>
              <w:t>3</w:t>
            </w:r>
            <w:r>
              <w:rPr>
                <w:rFonts w:ascii="Times New Roman" w:hAnsi="Times New Roman" w:cs="Times New Roman"/>
                <w:color w:val="auto"/>
                <w:u w:val="single"/>
              </w:rPr>
              <w:t>和PM</w:t>
            </w:r>
            <w:r>
              <w:rPr>
                <w:rFonts w:ascii="Times New Roman" w:hAnsi="Times New Roman" w:cs="Times New Roman"/>
                <w:color w:val="auto"/>
                <w:u w:val="single"/>
                <w:vertAlign w:val="subscript"/>
              </w:rPr>
              <w:t>2.5</w:t>
            </w:r>
            <w:r>
              <w:rPr>
                <w:rFonts w:ascii="Times New Roman" w:hAnsi="Times New Roman" w:cs="Times New Roman"/>
                <w:color w:val="auto"/>
                <w:u w:val="single"/>
              </w:rPr>
              <w:t>不能达到《环境空气质量标准》（GB3095-2012）二级标准，其它各项因子均达标。因此岳阳市属于不达标区。</w:t>
            </w:r>
            <w:r>
              <w:rPr>
                <w:rFonts w:hint="eastAsia" w:ascii="Times New Roman" w:hAnsi="Times New Roman" w:cs="Times New Roman"/>
                <w:color w:val="auto"/>
                <w:u w:val="single"/>
                <w:lang w:eastAsia="zh-CN"/>
              </w:rPr>
              <w:t>本项目</w:t>
            </w:r>
            <w:r>
              <w:rPr>
                <w:rFonts w:hint="eastAsia" w:ascii="Times New Roman" w:hAnsi="Times New Roman" w:cs="Times New Roman"/>
                <w:color w:val="auto"/>
                <w:u w:val="single"/>
                <w:lang w:val="en-US" w:eastAsia="zh-CN"/>
              </w:rPr>
              <w:t>的大气污染特征因子为SO</w:t>
            </w:r>
            <w:r>
              <w:rPr>
                <w:rFonts w:hint="eastAsia" w:ascii="Times New Roman" w:hAnsi="Times New Roman" w:cs="Times New Roman"/>
                <w:color w:val="auto"/>
                <w:u w:val="single"/>
                <w:vertAlign w:val="subscript"/>
                <w:lang w:val="en-US" w:eastAsia="zh-CN"/>
              </w:rPr>
              <w:t>2</w:t>
            </w:r>
            <w:r>
              <w:rPr>
                <w:rFonts w:hint="eastAsia" w:ascii="Times New Roman" w:hAnsi="Times New Roman" w:cs="Times New Roman"/>
                <w:color w:val="auto"/>
                <w:u w:val="single"/>
                <w:lang w:val="en-US" w:eastAsia="zh-CN"/>
              </w:rPr>
              <w:t>、NOx、PM</w:t>
            </w:r>
            <w:r>
              <w:rPr>
                <w:rFonts w:hint="eastAsia" w:ascii="Times New Roman" w:hAnsi="Times New Roman" w:cs="Times New Roman"/>
                <w:color w:val="auto"/>
                <w:u w:val="single"/>
                <w:vertAlign w:val="subscript"/>
                <w:lang w:val="en-US" w:eastAsia="zh-CN"/>
              </w:rPr>
              <w:t>10</w:t>
            </w:r>
            <w:r>
              <w:rPr>
                <w:rFonts w:hint="eastAsia" w:ascii="Times New Roman" w:hAnsi="Times New Roman" w:cs="Times New Roman"/>
                <w:color w:val="auto"/>
                <w:u w:val="single"/>
                <w:vertAlign w:val="baseline"/>
                <w:lang w:val="en-US" w:eastAsia="zh-CN"/>
              </w:rPr>
              <w:t>，其中</w:t>
            </w:r>
            <w:r>
              <w:rPr>
                <w:rFonts w:hint="eastAsia" w:ascii="Times New Roman" w:hAnsi="Times New Roman" w:cs="Times New Roman"/>
                <w:color w:val="auto"/>
                <w:u w:val="single"/>
                <w:lang w:val="en-US" w:eastAsia="zh-CN"/>
              </w:rPr>
              <w:t>SO</w:t>
            </w:r>
            <w:r>
              <w:rPr>
                <w:rFonts w:hint="eastAsia" w:ascii="Times New Roman" w:hAnsi="Times New Roman" w:cs="Times New Roman"/>
                <w:color w:val="auto"/>
                <w:u w:val="single"/>
                <w:vertAlign w:val="subscript"/>
                <w:lang w:val="en-US" w:eastAsia="zh-CN"/>
              </w:rPr>
              <w:t>2</w:t>
            </w:r>
            <w:r>
              <w:rPr>
                <w:rFonts w:hint="eastAsia" w:ascii="Times New Roman" w:hAnsi="Times New Roman" w:cs="Times New Roman"/>
                <w:color w:val="auto"/>
                <w:u w:val="single"/>
                <w:lang w:val="en-US" w:eastAsia="zh-CN"/>
              </w:rPr>
              <w:t>、NOx的监测数据在2018年和2019年均能达到</w:t>
            </w:r>
            <w:r>
              <w:rPr>
                <w:rFonts w:ascii="Times New Roman" w:hAnsi="Times New Roman" w:cs="Times New Roman"/>
                <w:color w:val="auto"/>
                <w:u w:val="single"/>
              </w:rPr>
              <w:t>《环境空气质量标准》（GB3095-2012）二级标准</w:t>
            </w:r>
            <w:r>
              <w:rPr>
                <w:rFonts w:hint="eastAsia" w:ascii="Times New Roman" w:hAnsi="Times New Roman" w:cs="Times New Roman"/>
                <w:color w:val="auto"/>
                <w:u w:val="single"/>
                <w:lang w:eastAsia="zh-CN"/>
              </w:rPr>
              <w:t>，</w:t>
            </w:r>
            <w:r>
              <w:rPr>
                <w:rFonts w:hint="eastAsia" w:ascii="Times New Roman" w:hAnsi="Times New Roman" w:cs="Times New Roman"/>
                <w:color w:val="auto"/>
                <w:u w:val="single"/>
                <w:lang w:val="en-US" w:eastAsia="zh-CN"/>
              </w:rPr>
              <w:t>PM</w:t>
            </w:r>
            <w:r>
              <w:rPr>
                <w:rFonts w:hint="eastAsia" w:ascii="Times New Roman" w:hAnsi="Times New Roman" w:cs="Times New Roman"/>
                <w:color w:val="auto"/>
                <w:u w:val="single"/>
                <w:vertAlign w:val="subscript"/>
                <w:lang w:val="en-US" w:eastAsia="zh-CN"/>
              </w:rPr>
              <w:t>10</w:t>
            </w:r>
            <w:r>
              <w:rPr>
                <w:rFonts w:hint="eastAsia" w:ascii="Times New Roman" w:hAnsi="Times New Roman" w:cs="Times New Roman"/>
                <w:color w:val="auto"/>
                <w:u w:val="single"/>
                <w:vertAlign w:val="baseline"/>
                <w:lang w:val="en-US" w:eastAsia="zh-CN"/>
              </w:rPr>
              <w:t>的监测数据</w:t>
            </w:r>
          </w:p>
          <w:p>
            <w:pPr>
              <w:ind w:firstLine="480" w:firstLineChars="200"/>
              <w:rPr>
                <w:color w:val="auto"/>
              </w:rPr>
            </w:pPr>
            <w:r>
              <w:rPr>
                <w:rFonts w:ascii="Times New Roman" w:hAnsi="Times New Roman" w:cs="Times New Roman"/>
                <w:color w:val="auto"/>
              </w:rPr>
              <w:t>201</w:t>
            </w:r>
            <w:r>
              <w:rPr>
                <w:rFonts w:hint="eastAsia" w:ascii="Times New Roman" w:hAnsi="Times New Roman" w:cs="Times New Roman"/>
                <w:color w:val="auto"/>
              </w:rPr>
              <w:t>9</w:t>
            </w:r>
            <w:r>
              <w:rPr>
                <w:rFonts w:ascii="Times New Roman" w:hAnsi="Times New Roman" w:cs="Times New Roman"/>
                <w:color w:val="auto"/>
              </w:rPr>
              <w:t>年城区环境空气质量</w:t>
            </w:r>
            <w:r>
              <w:rPr>
                <w:rFonts w:hint="eastAsia" w:ascii="Times New Roman" w:hAnsi="Times New Roman" w:cs="Times New Roman"/>
                <w:color w:val="auto"/>
              </w:rPr>
              <w:t>达标率为80.5%</w:t>
            </w:r>
            <w:r>
              <w:rPr>
                <w:rFonts w:ascii="Times New Roman" w:hAnsi="Times New Roman" w:cs="Times New Roman"/>
                <w:color w:val="auto"/>
              </w:rPr>
              <w:t>，较201</w:t>
            </w:r>
            <w:r>
              <w:rPr>
                <w:rFonts w:hint="eastAsia" w:ascii="Times New Roman" w:hAnsi="Times New Roman" w:cs="Times New Roman"/>
                <w:color w:val="auto"/>
              </w:rPr>
              <w:t>8</w:t>
            </w:r>
            <w:r>
              <w:rPr>
                <w:rFonts w:ascii="Times New Roman" w:hAnsi="Times New Roman" w:cs="Times New Roman"/>
                <w:color w:val="auto"/>
              </w:rPr>
              <w:t>年</w:t>
            </w:r>
            <w:r>
              <w:rPr>
                <w:rFonts w:hint="eastAsia" w:ascii="Times New Roman" w:hAnsi="Times New Roman" w:cs="Times New Roman"/>
                <w:color w:val="auto"/>
              </w:rPr>
              <w:t>的达标率有所升高</w:t>
            </w:r>
            <w:r>
              <w:rPr>
                <w:rFonts w:ascii="Times New Roman" w:hAnsi="Times New Roman" w:cs="Times New Roman"/>
                <w:color w:val="auto"/>
              </w:rPr>
              <w:t>。</w:t>
            </w:r>
          </w:p>
          <w:p>
            <w:pPr>
              <w:ind w:firstLine="480" w:firstLineChars="200"/>
              <w:rPr>
                <w:rFonts w:ascii="Times New Roman" w:hAnsi="Times New Roman" w:cs="Times New Roman"/>
                <w:color w:val="auto"/>
              </w:rPr>
            </w:pPr>
            <w:r>
              <w:rPr>
                <w:rFonts w:hint="eastAsia" w:ascii="Times New Roman" w:hAnsi="Times New Roman" w:cs="Times New Roman"/>
                <w:color w:val="auto"/>
              </w:rPr>
              <w:t xml:space="preserve">根据《湖南省污染防治攻坚战三年行动计划（2018-2020 年）》、《湖南省“蓝天 保卫战”实施方案》（2018-2020年）文件内容要求，湖南省人民政府持续深入开展大 气污染治理，采取的主要措施如下： </w:t>
            </w:r>
          </w:p>
          <w:p>
            <w:pPr>
              <w:ind w:firstLine="480" w:firstLineChars="200"/>
              <w:rPr>
                <w:rFonts w:ascii="Times New Roman" w:hAnsi="Times New Roman" w:cs="Times New Roman"/>
                <w:color w:val="auto"/>
              </w:rPr>
            </w:pPr>
            <w:r>
              <w:rPr>
                <w:rFonts w:hint="eastAsia" w:ascii="Times New Roman" w:hAnsi="Times New Roman" w:cs="Times New Roman"/>
                <w:color w:val="auto"/>
              </w:rPr>
              <w:t xml:space="preserve">①积极推动转型升级 </w:t>
            </w:r>
          </w:p>
          <w:p>
            <w:pPr>
              <w:ind w:firstLine="480" w:firstLineChars="200"/>
              <w:rPr>
                <w:rFonts w:ascii="Times New Roman" w:hAnsi="Times New Roman" w:cs="Times New Roman"/>
                <w:color w:val="auto"/>
              </w:rPr>
            </w:pPr>
            <w:r>
              <w:rPr>
                <w:rFonts w:hint="eastAsia" w:ascii="Times New Roman" w:hAnsi="Times New Roman" w:cs="Times New Roman"/>
                <w:color w:val="auto"/>
              </w:rPr>
              <w:t xml:space="preserve">a 促进产业结构调整、b 推进“散乱污”企业整治、c 优化能源结构调整。d 加快清洁能源替代利用、e 推动交通结构调整、f 加快绿色交通体系建设、g 推进油品提质升级。 </w:t>
            </w:r>
          </w:p>
          <w:p>
            <w:pPr>
              <w:ind w:firstLine="480" w:firstLineChars="200"/>
              <w:rPr>
                <w:rFonts w:ascii="Times New Roman" w:hAnsi="Times New Roman" w:cs="Times New Roman"/>
                <w:color w:val="auto"/>
              </w:rPr>
            </w:pPr>
            <w:r>
              <w:rPr>
                <w:rFonts w:hint="eastAsia" w:ascii="Times New Roman" w:hAnsi="Times New Roman" w:cs="Times New Roman"/>
                <w:color w:val="auto"/>
              </w:rPr>
              <w:t xml:space="preserve">②加大污染治理力度 </w:t>
            </w:r>
          </w:p>
          <w:p>
            <w:pPr>
              <w:ind w:firstLine="480" w:firstLineChars="200"/>
              <w:rPr>
                <w:rFonts w:ascii="Times New Roman" w:hAnsi="Times New Roman" w:cs="Times New Roman"/>
                <w:color w:val="auto"/>
              </w:rPr>
            </w:pPr>
            <w:r>
              <w:rPr>
                <w:rFonts w:hint="eastAsia" w:ascii="Times New Roman" w:hAnsi="Times New Roman" w:cs="Times New Roman"/>
                <w:color w:val="auto"/>
              </w:rPr>
              <w:t>a推动工业污染源稳定达标排放、b加强工业企业无组织排放管控、c加强工业园区 大气污染防治、d 推动重点地区和重点行业执行大气污染物特别排放限值、e 推进火电 钢铁行业超低排放改造、f 全面推进工业 VOCs 综合治理、g 打好柴油货车污染治理攻 坚战、h 加强非道路移动机械和船舶污染管控、i 加强扬尘污染治理、j 严禁秸秆露天焚 烧、k 加强生活面源整治。</w:t>
            </w:r>
          </w:p>
          <w:p>
            <w:pPr>
              <w:ind w:firstLine="480" w:firstLineChars="200"/>
              <w:rPr>
                <w:rFonts w:ascii="Times New Roman" w:hAnsi="Times New Roman" w:eastAsia="宋体" w:cs="Times New Roman"/>
                <w:color w:val="auto"/>
                <w:highlight w:val="yellow"/>
              </w:rPr>
            </w:pPr>
            <w:r>
              <w:rPr>
                <w:rFonts w:hint="eastAsia" w:ascii="Times New Roman" w:hAnsi="Times New Roman" w:cs="Times New Roman"/>
                <w:color w:val="auto"/>
              </w:rPr>
              <w:t>根据《湖南省污染防治攻坚战三年行动计划（2018-2020年）》，岳阳市2020年PM</w:t>
            </w:r>
            <w:r>
              <w:rPr>
                <w:rFonts w:hint="eastAsia" w:ascii="Times New Roman" w:hAnsi="Times New Roman" w:cs="Times New Roman"/>
                <w:color w:val="auto"/>
                <w:vertAlign w:val="subscript"/>
              </w:rPr>
              <w:t>10</w:t>
            </w:r>
            <w:r>
              <w:rPr>
                <w:rFonts w:hint="eastAsia" w:ascii="Times New Roman" w:hAnsi="Times New Roman" w:cs="Times New Roman"/>
                <w:color w:val="auto"/>
              </w:rPr>
              <w:t>、P</w:t>
            </w:r>
            <w:r>
              <w:rPr>
                <w:rFonts w:ascii="Times New Roman" w:hAnsi="Times New Roman" w:cs="Times New Roman"/>
                <w:color w:val="auto"/>
              </w:rPr>
              <w:t>M</w:t>
            </w:r>
            <w:r>
              <w:rPr>
                <w:rFonts w:ascii="Times New Roman" w:hAnsi="Times New Roman" w:cs="Times New Roman"/>
                <w:color w:val="auto"/>
                <w:vertAlign w:val="subscript"/>
              </w:rPr>
              <w:t>2.5</w:t>
            </w:r>
            <w:r>
              <w:rPr>
                <w:rFonts w:ascii="Times New Roman" w:hAnsi="Times New Roman" w:cs="Times New Roman"/>
                <w:color w:val="auto"/>
              </w:rPr>
              <w:t>的浓度改善目标分别为68μg/m</w:t>
            </w:r>
            <w:r>
              <w:rPr>
                <w:rFonts w:ascii="Times New Roman" w:hAnsi="Times New Roman" w:cs="Times New Roman"/>
                <w:color w:val="auto"/>
                <w:vertAlign w:val="superscript"/>
              </w:rPr>
              <w:t>3</w:t>
            </w:r>
            <w:r>
              <w:rPr>
                <w:rFonts w:ascii="Times New Roman" w:hAnsi="Times New Roman" w:cs="Times New Roman"/>
                <w:color w:val="auto"/>
              </w:rPr>
              <w:t>和40μg/m</w:t>
            </w:r>
            <w:r>
              <w:rPr>
                <w:rFonts w:ascii="Times New Roman" w:hAnsi="Times New Roman" w:cs="Times New Roman"/>
                <w:color w:val="auto"/>
                <w:vertAlign w:val="superscript"/>
              </w:rPr>
              <w:t>3</w:t>
            </w:r>
            <w:r>
              <w:rPr>
                <w:rFonts w:ascii="Times New Roman" w:hAnsi="Times New Roman" w:cs="Times New Roman"/>
                <w:color w:val="auto"/>
              </w:rPr>
              <w:t>，</w:t>
            </w:r>
            <w:r>
              <w:rPr>
                <w:rFonts w:ascii="Times New Roman" w:hAnsi="Times New Roman" w:eastAsia="Arial" w:cs="Times New Roman"/>
                <w:color w:val="auto"/>
                <w:szCs w:val="24"/>
                <w:shd w:val="clear" w:color="auto" w:fill="FFFFFF"/>
              </w:rPr>
              <w:t>城市环境空气质量优良率达到83%以上</w:t>
            </w:r>
            <w:r>
              <w:rPr>
                <w:rFonts w:ascii="Times New Roman" w:hAnsi="Times New Roman" w:eastAsia="宋体" w:cs="Times New Roman"/>
                <w:color w:val="auto"/>
                <w:szCs w:val="24"/>
                <w:shd w:val="clear" w:color="auto" w:fill="FFFFFF"/>
              </w:rPr>
              <w:t>。</w:t>
            </w:r>
          </w:p>
          <w:p>
            <w:pPr>
              <w:pStyle w:val="5"/>
              <w:ind w:firstLine="562"/>
              <w:outlineLvl w:val="1"/>
              <w:rPr>
                <w:rFonts w:cs="Times New Roman"/>
                <w:color w:val="auto"/>
              </w:rPr>
            </w:pPr>
            <w:r>
              <w:rPr>
                <w:rFonts w:cs="Times New Roman"/>
                <w:color w:val="auto"/>
              </w:rPr>
              <w:t>2、地表水环境质量现状</w:t>
            </w:r>
          </w:p>
          <w:p>
            <w:pPr>
              <w:ind w:firstLine="480" w:firstLineChars="200"/>
              <w:rPr>
                <w:rFonts w:ascii="Times New Roman" w:hAnsi="Times New Roman" w:cs="Times New Roman"/>
                <w:color w:val="auto"/>
              </w:rPr>
            </w:pPr>
            <w:r>
              <w:rPr>
                <w:rFonts w:ascii="Times New Roman" w:hAnsi="Times New Roman" w:cs="Times New Roman"/>
                <w:color w:val="auto"/>
              </w:rPr>
              <w:t>项目污水经预处理后排入市政污水管网最终进入罗家坡污水处理厂处理达标后</w:t>
            </w:r>
            <w:r>
              <w:rPr>
                <w:rFonts w:hint="eastAsia" w:ascii="Times New Roman" w:hAnsi="Times New Roman" w:cs="Times New Roman"/>
                <w:color w:val="auto"/>
              </w:rPr>
              <w:t>经由北港河</w:t>
            </w:r>
            <w:r>
              <w:rPr>
                <w:rFonts w:ascii="Times New Roman" w:hAnsi="Times New Roman" w:cs="Times New Roman"/>
                <w:color w:val="auto"/>
              </w:rPr>
              <w:t>排入南湖，根据《湖南省主要水系地表水环境功能区划（DB43/023-2005）》的划分：南湖功能区类型为景观娱乐用水区，执行标准为Ⅳ类，但根据岳阳市人民政府岳政告[2006]7号《关于加强环南湖建设项目排污管理的通知》，现实际按Ⅲ类水保护。</w:t>
            </w:r>
          </w:p>
          <w:p>
            <w:pPr>
              <w:spacing w:line="480" w:lineRule="exact"/>
              <w:ind w:left="600"/>
              <w:rPr>
                <w:rFonts w:ascii="Times New Roman" w:hAnsi="Times New Roman" w:eastAsia="宋体"/>
                <w:b/>
                <w:bCs/>
                <w:color w:val="auto"/>
                <w:szCs w:val="24"/>
              </w:rPr>
            </w:pPr>
            <w:r>
              <w:rPr>
                <w:rFonts w:hint="eastAsia" w:ascii="Times New Roman" w:hAnsi="Times New Roman" w:eastAsia="宋体"/>
                <w:b/>
                <w:bCs/>
                <w:color w:val="auto"/>
                <w:szCs w:val="24"/>
              </w:rPr>
              <w:t>北港河：</w:t>
            </w:r>
          </w:p>
          <w:p>
            <w:pPr>
              <w:ind w:firstLine="480" w:firstLineChars="200"/>
              <w:rPr>
                <w:rFonts w:ascii="Times New Roman" w:hAnsi="Times New Roman" w:cs="Times New Roman"/>
                <w:color w:val="auto"/>
              </w:rPr>
            </w:pPr>
            <w:r>
              <w:rPr>
                <w:rFonts w:hint="eastAsia" w:ascii="Times New Roman" w:hAnsi="Times New Roman" w:cs="Times New Roman"/>
                <w:color w:val="auto"/>
              </w:rPr>
              <w:t>本评价引用《岳阳经济技术开发区南港河、北港河流域综合整治工程》中对北港河的水环境现状监测，其监测情况如下：</w:t>
            </w:r>
          </w:p>
          <w:p>
            <w:pPr>
              <w:ind w:firstLine="480" w:firstLineChars="200"/>
              <w:rPr>
                <w:rFonts w:ascii="Times New Roman" w:hAnsi="Times New Roman" w:cs="Times New Roman"/>
                <w:color w:val="auto"/>
              </w:rPr>
            </w:pPr>
            <w:r>
              <w:rPr>
                <w:rFonts w:hint="eastAsia" w:ascii="Times New Roman" w:hAnsi="Times New Roman" w:cs="Times New Roman"/>
                <w:color w:val="auto"/>
              </w:rPr>
              <w:t>（1）</w:t>
            </w:r>
            <w:r>
              <w:rPr>
                <w:rFonts w:ascii="Times New Roman" w:hAnsi="Times New Roman" w:cs="Times New Roman"/>
                <w:color w:val="auto"/>
              </w:rPr>
              <w:t>监测断面：</w:t>
            </w:r>
            <w:r>
              <w:rPr>
                <w:rFonts w:hint="eastAsia" w:ascii="Times New Roman" w:hAnsi="Times New Roman" w:cs="Times New Roman"/>
                <w:color w:val="auto"/>
              </w:rPr>
              <w:t>北港河布设3个水环境现状监测点（W1北港河107国道处、W2北港河107国道处、W3北港河与王家河交汇处东岸）。</w:t>
            </w:r>
          </w:p>
          <w:p>
            <w:pPr>
              <w:ind w:firstLine="480" w:firstLineChars="200"/>
              <w:rPr>
                <w:rFonts w:ascii="Times New Roman" w:hAnsi="Times New Roman" w:cs="Times New Roman"/>
                <w:color w:val="auto"/>
              </w:rPr>
            </w:pPr>
            <w:r>
              <w:rPr>
                <w:rFonts w:hint="eastAsia" w:ascii="Times New Roman" w:hAnsi="Times New Roman" w:cs="Times New Roman"/>
                <w:color w:val="auto"/>
              </w:rPr>
              <w:t>（2）</w:t>
            </w:r>
            <w:r>
              <w:rPr>
                <w:rFonts w:ascii="Times New Roman" w:hAnsi="Times New Roman" w:cs="Times New Roman"/>
                <w:color w:val="auto"/>
              </w:rPr>
              <w:t>监测因子：</w:t>
            </w:r>
            <w:r>
              <w:rPr>
                <w:rFonts w:hint="eastAsia" w:ascii="Times New Roman" w:hAnsi="Times New Roman" w:cs="Times New Roman"/>
                <w:color w:val="auto"/>
              </w:rPr>
              <w:t>pH、透明度，溶解氧、氧化还原电位、氨氮、CODcr、TP</w:t>
            </w:r>
            <w:r>
              <w:rPr>
                <w:rFonts w:ascii="Times New Roman" w:hAnsi="Times New Roman" w:cs="Times New Roman"/>
                <w:color w:val="auto"/>
              </w:rPr>
              <w:t>。</w:t>
            </w:r>
          </w:p>
          <w:p>
            <w:pPr>
              <w:ind w:firstLine="480" w:firstLineChars="200"/>
              <w:rPr>
                <w:rFonts w:ascii="Times New Roman" w:hAnsi="Times New Roman" w:cs="Times New Roman"/>
                <w:color w:val="auto"/>
              </w:rPr>
            </w:pPr>
            <w:r>
              <w:rPr>
                <w:rFonts w:hint="eastAsia" w:ascii="Times New Roman" w:hAnsi="Times New Roman" w:cs="Times New Roman"/>
                <w:color w:val="auto"/>
              </w:rPr>
              <w:t>（3）</w:t>
            </w:r>
            <w:r>
              <w:rPr>
                <w:rFonts w:ascii="Times New Roman" w:hAnsi="Times New Roman" w:cs="Times New Roman"/>
                <w:color w:val="auto"/>
              </w:rPr>
              <w:t>采样时间：201</w:t>
            </w:r>
            <w:r>
              <w:rPr>
                <w:rFonts w:hint="eastAsia" w:ascii="Times New Roman" w:hAnsi="Times New Roman" w:cs="Times New Roman"/>
                <w:color w:val="auto"/>
              </w:rPr>
              <w:t>8</w:t>
            </w:r>
            <w:r>
              <w:rPr>
                <w:rFonts w:ascii="Times New Roman" w:hAnsi="Times New Roman" w:cs="Times New Roman"/>
                <w:color w:val="auto"/>
              </w:rPr>
              <w:t>年0</w:t>
            </w:r>
            <w:r>
              <w:rPr>
                <w:rFonts w:hint="eastAsia" w:ascii="Times New Roman" w:hAnsi="Times New Roman" w:cs="Times New Roman"/>
                <w:color w:val="auto"/>
              </w:rPr>
              <w:t>6</w:t>
            </w:r>
            <w:r>
              <w:rPr>
                <w:rFonts w:ascii="Times New Roman" w:hAnsi="Times New Roman" w:cs="Times New Roman"/>
                <w:color w:val="auto"/>
              </w:rPr>
              <w:t>月</w:t>
            </w:r>
            <w:r>
              <w:rPr>
                <w:rFonts w:hint="eastAsia" w:ascii="Times New Roman" w:hAnsi="Times New Roman" w:cs="Times New Roman"/>
                <w:color w:val="auto"/>
              </w:rPr>
              <w:t>06</w:t>
            </w:r>
            <w:r>
              <w:rPr>
                <w:rFonts w:ascii="Times New Roman" w:hAnsi="Times New Roman" w:cs="Times New Roman"/>
                <w:color w:val="auto"/>
              </w:rPr>
              <w:t>~</w:t>
            </w:r>
            <w:r>
              <w:rPr>
                <w:rFonts w:hint="eastAsia" w:ascii="Times New Roman" w:hAnsi="Times New Roman" w:cs="Times New Roman"/>
                <w:color w:val="auto"/>
              </w:rPr>
              <w:t>08</w:t>
            </w:r>
            <w:r>
              <w:rPr>
                <w:rFonts w:ascii="Times New Roman" w:hAnsi="Times New Roman" w:cs="Times New Roman"/>
                <w:color w:val="auto"/>
              </w:rPr>
              <w:t>日。</w:t>
            </w:r>
          </w:p>
          <w:p>
            <w:pPr>
              <w:ind w:firstLine="480" w:firstLineChars="200"/>
              <w:rPr>
                <w:rFonts w:ascii="Times New Roman" w:hAnsi="Times New Roman" w:cs="Times New Roman"/>
                <w:color w:val="auto"/>
              </w:rPr>
            </w:pPr>
            <w:r>
              <w:rPr>
                <w:rFonts w:hint="eastAsia" w:ascii="Times New Roman" w:hAnsi="Times New Roman" w:cs="Times New Roman"/>
                <w:color w:val="auto"/>
              </w:rPr>
              <w:t>（4）采样频次：每天一次，隔日采样，连续监测采样三次（水面下0.5m水样或1/2水深）。</w:t>
            </w:r>
          </w:p>
          <w:p>
            <w:pPr>
              <w:ind w:firstLine="480" w:firstLineChars="200"/>
              <w:rPr>
                <w:rFonts w:ascii="Times New Roman" w:hAnsi="Times New Roman" w:cs="Times New Roman"/>
                <w:color w:val="auto"/>
              </w:rPr>
            </w:pPr>
            <w:r>
              <w:rPr>
                <w:rFonts w:hint="eastAsia" w:ascii="Times New Roman" w:hAnsi="Times New Roman" w:cs="Times New Roman"/>
                <w:color w:val="auto"/>
              </w:rPr>
              <w:t>（5）</w:t>
            </w:r>
            <w:r>
              <w:rPr>
                <w:rFonts w:ascii="Times New Roman" w:hAnsi="Times New Roman" w:cs="Times New Roman"/>
                <w:color w:val="auto"/>
              </w:rPr>
              <w:t>评价标准：执行《地表水环境质量标准》（GB3838-2002）中的Ⅲ类标准。</w:t>
            </w:r>
          </w:p>
          <w:p>
            <w:pPr>
              <w:ind w:firstLine="480" w:firstLineChars="200"/>
              <w:rPr>
                <w:rFonts w:ascii="Times New Roman" w:hAnsi="Times New Roman" w:cs="Times New Roman"/>
                <w:color w:val="auto"/>
              </w:rPr>
            </w:pPr>
            <w:r>
              <w:rPr>
                <w:rFonts w:hint="eastAsia" w:ascii="Times New Roman" w:hAnsi="Times New Roman" w:cs="Times New Roman"/>
                <w:color w:val="auto"/>
              </w:rPr>
              <w:t>（6）</w:t>
            </w:r>
            <w:r>
              <w:rPr>
                <w:rFonts w:ascii="Times New Roman" w:hAnsi="Times New Roman" w:cs="Times New Roman"/>
                <w:color w:val="auto"/>
              </w:rPr>
              <w:t>采样和分析方法：采样和分析方法均采用国家推荐的技术规范。</w:t>
            </w:r>
          </w:p>
          <w:p>
            <w:pPr>
              <w:ind w:firstLine="480" w:firstLineChars="200"/>
              <w:rPr>
                <w:rFonts w:ascii="Times New Roman" w:hAnsi="Times New Roman" w:cs="Times New Roman"/>
                <w:color w:val="auto"/>
              </w:rPr>
            </w:pPr>
            <w:r>
              <w:rPr>
                <w:rFonts w:ascii="Times New Roman" w:hAnsi="Times New Roman" w:cs="Times New Roman"/>
                <w:color w:val="auto"/>
              </w:rPr>
              <w:t>具体水质监测结果见表3-2。</w:t>
            </w:r>
          </w:p>
          <w:p>
            <w:pPr>
              <w:pStyle w:val="2"/>
              <w:jc w:val="center"/>
              <w:rPr>
                <w:rFonts w:ascii="Times New Roman" w:hAnsi="Times New Roman" w:eastAsia="宋体"/>
                <w:color w:val="auto"/>
                <w:szCs w:val="24"/>
              </w:rPr>
            </w:pPr>
            <w:r>
              <w:rPr>
                <w:rFonts w:ascii="Times New Roman" w:hAnsi="Times New Roman" w:eastAsia="宋体" w:cs="Times New Roman"/>
                <w:b/>
                <w:color w:val="auto"/>
                <w:szCs w:val="24"/>
              </w:rPr>
              <w:t>表3-</w:t>
            </w:r>
            <w:r>
              <w:rPr>
                <w:rFonts w:hint="eastAsia" w:ascii="Times New Roman" w:hAnsi="Times New Roman" w:eastAsia="宋体" w:cs="Times New Roman"/>
                <w:b/>
                <w:color w:val="auto"/>
                <w:szCs w:val="24"/>
              </w:rPr>
              <w:t>2</w:t>
            </w:r>
            <w:r>
              <w:rPr>
                <w:rFonts w:ascii="Times New Roman" w:hAnsi="Times New Roman" w:eastAsia="宋体" w:cs="Times New Roman"/>
                <w:b/>
                <w:color w:val="auto"/>
                <w:szCs w:val="24"/>
              </w:rPr>
              <w:t xml:space="preserve">  </w:t>
            </w:r>
            <w:r>
              <w:rPr>
                <w:rFonts w:hint="eastAsia" w:ascii="Times New Roman" w:hAnsi="Times New Roman" w:eastAsia="宋体" w:cs="Times New Roman"/>
                <w:b/>
                <w:color w:val="auto"/>
                <w:szCs w:val="24"/>
              </w:rPr>
              <w:t>北港河</w:t>
            </w:r>
            <w:r>
              <w:rPr>
                <w:rFonts w:ascii="Times New Roman" w:hAnsi="Times New Roman" w:eastAsia="宋体" w:cs="Times New Roman"/>
                <w:b/>
                <w:color w:val="auto"/>
                <w:szCs w:val="24"/>
              </w:rPr>
              <w:t>水质监测结果统计表</w:t>
            </w:r>
            <w:r>
              <w:rPr>
                <w:rFonts w:hint="eastAsia" w:ascii="Times New Roman" w:hAnsi="Times New Roman" w:eastAsia="宋体" w:cs="Times New Roman"/>
                <w:b/>
                <w:color w:val="auto"/>
                <w:szCs w:val="24"/>
              </w:rPr>
              <w:t xml:space="preserve"> </w:t>
            </w:r>
          </w:p>
          <w:tbl>
            <w:tblPr>
              <w:tblStyle w:val="17"/>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62"/>
              <w:gridCol w:w="1004"/>
              <w:gridCol w:w="880"/>
              <w:gridCol w:w="1204"/>
              <w:gridCol w:w="1133"/>
              <w:gridCol w:w="1269"/>
              <w:gridCol w:w="828"/>
              <w:gridCol w:w="940"/>
              <w:gridCol w:w="95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restart"/>
                  <w:tcBorders>
                    <w:top w:val="single" w:color="auto" w:sz="12" w:space="0"/>
                  </w:tcBorders>
                  <w:vAlign w:val="center"/>
                </w:tcPr>
                <w:p>
                  <w:pPr>
                    <w:spacing w:line="240" w:lineRule="auto"/>
                    <w:jc w:val="center"/>
                    <w:rPr>
                      <w:rFonts w:ascii="Times New Roman" w:hAnsi="Times New Roman" w:eastAsia="宋体"/>
                      <w:b/>
                      <w:bCs/>
                      <w:color w:val="auto"/>
                      <w:sz w:val="21"/>
                      <w:szCs w:val="21"/>
                    </w:rPr>
                  </w:pPr>
                  <w:r>
                    <w:rPr>
                      <w:rFonts w:ascii="Times New Roman" w:hAnsi="Times New Roman" w:eastAsia="宋体"/>
                      <w:b/>
                      <w:bCs/>
                      <w:color w:val="auto"/>
                      <w:sz w:val="21"/>
                      <w:szCs w:val="21"/>
                    </w:rPr>
                    <w:t>采样位置</w:t>
                  </w:r>
                </w:p>
              </w:tc>
              <w:tc>
                <w:tcPr>
                  <w:tcW w:w="553" w:type="pct"/>
                  <w:vMerge w:val="restart"/>
                  <w:tcBorders>
                    <w:top w:val="single" w:color="auto" w:sz="12" w:space="0"/>
                  </w:tcBorders>
                  <w:vAlign w:val="center"/>
                </w:tcPr>
                <w:p>
                  <w:pPr>
                    <w:spacing w:line="240" w:lineRule="auto"/>
                    <w:jc w:val="center"/>
                    <w:rPr>
                      <w:rFonts w:ascii="Times New Roman" w:hAnsi="Times New Roman" w:eastAsia="宋体"/>
                      <w:b/>
                      <w:bCs/>
                      <w:color w:val="auto"/>
                      <w:sz w:val="21"/>
                      <w:szCs w:val="21"/>
                    </w:rPr>
                  </w:pPr>
                  <w:r>
                    <w:rPr>
                      <w:rFonts w:ascii="Times New Roman" w:hAnsi="Times New Roman" w:eastAsia="宋体"/>
                      <w:b/>
                      <w:bCs/>
                      <w:color w:val="auto"/>
                      <w:sz w:val="21"/>
                      <w:szCs w:val="21"/>
                    </w:rPr>
                    <w:t>检测项目</w:t>
                  </w:r>
                </w:p>
              </w:tc>
              <w:tc>
                <w:tcPr>
                  <w:tcW w:w="485" w:type="pct"/>
                  <w:vMerge w:val="restart"/>
                  <w:tcBorders>
                    <w:top w:val="single" w:color="auto" w:sz="12" w:space="0"/>
                  </w:tcBorders>
                  <w:vAlign w:val="center"/>
                </w:tcPr>
                <w:p>
                  <w:pPr>
                    <w:spacing w:line="240" w:lineRule="auto"/>
                    <w:jc w:val="center"/>
                    <w:rPr>
                      <w:rFonts w:ascii="Times New Roman" w:hAnsi="Times New Roman" w:eastAsia="宋体"/>
                      <w:b/>
                      <w:bCs/>
                      <w:color w:val="auto"/>
                      <w:sz w:val="21"/>
                      <w:szCs w:val="21"/>
                    </w:rPr>
                  </w:pPr>
                  <w:r>
                    <w:rPr>
                      <w:rFonts w:ascii="Times New Roman" w:hAnsi="Times New Roman" w:eastAsia="宋体"/>
                      <w:b/>
                      <w:bCs/>
                      <w:color w:val="auto"/>
                      <w:sz w:val="21"/>
                      <w:szCs w:val="21"/>
                    </w:rPr>
                    <w:t>单位</w:t>
                  </w:r>
                </w:p>
              </w:tc>
              <w:tc>
                <w:tcPr>
                  <w:tcW w:w="1986" w:type="pct"/>
                  <w:gridSpan w:val="3"/>
                  <w:tcBorders>
                    <w:top w:val="single" w:color="auto" w:sz="12" w:space="0"/>
                  </w:tcBorders>
                  <w:vAlign w:val="center"/>
                </w:tcPr>
                <w:p>
                  <w:pPr>
                    <w:spacing w:line="240" w:lineRule="auto"/>
                    <w:jc w:val="center"/>
                    <w:rPr>
                      <w:rFonts w:ascii="Times New Roman" w:hAnsi="Times New Roman" w:eastAsia="宋体"/>
                      <w:b/>
                      <w:bCs/>
                      <w:color w:val="auto"/>
                      <w:sz w:val="21"/>
                      <w:szCs w:val="21"/>
                    </w:rPr>
                  </w:pPr>
                  <w:r>
                    <w:rPr>
                      <w:rFonts w:ascii="Times New Roman" w:hAnsi="Times New Roman" w:eastAsia="宋体"/>
                      <w:b/>
                      <w:bCs/>
                      <w:color w:val="auto"/>
                      <w:sz w:val="21"/>
                      <w:szCs w:val="21"/>
                    </w:rPr>
                    <w:t>检测结果</w:t>
                  </w:r>
                </w:p>
              </w:tc>
              <w:tc>
                <w:tcPr>
                  <w:tcW w:w="456" w:type="pct"/>
                  <w:vMerge w:val="restart"/>
                  <w:tcBorders>
                    <w:top w:val="single" w:color="auto" w:sz="12" w:space="0"/>
                  </w:tcBorders>
                  <w:vAlign w:val="center"/>
                </w:tcPr>
                <w:p>
                  <w:pPr>
                    <w:spacing w:line="240" w:lineRule="auto"/>
                    <w:jc w:val="center"/>
                    <w:rPr>
                      <w:rFonts w:ascii="Times New Roman" w:hAnsi="Times New Roman" w:eastAsia="宋体"/>
                      <w:b/>
                      <w:bCs/>
                      <w:color w:val="auto"/>
                      <w:sz w:val="21"/>
                      <w:szCs w:val="21"/>
                    </w:rPr>
                  </w:pPr>
                  <w:r>
                    <w:rPr>
                      <w:rFonts w:ascii="Times New Roman" w:hAnsi="Times New Roman" w:eastAsia="宋体" w:cs="Times New Roman"/>
                      <w:b/>
                      <w:bCs/>
                      <w:color w:val="auto"/>
                      <w:sz w:val="21"/>
                      <w:szCs w:val="21"/>
                    </w:rPr>
                    <w:t>超标倍数</w:t>
                  </w:r>
                </w:p>
              </w:tc>
              <w:tc>
                <w:tcPr>
                  <w:tcW w:w="518" w:type="pct"/>
                  <w:vMerge w:val="restart"/>
                  <w:tcBorders>
                    <w:top w:val="single" w:color="auto" w:sz="12" w:space="0"/>
                  </w:tcBorders>
                  <w:vAlign w:val="center"/>
                </w:tcPr>
                <w:p>
                  <w:pPr>
                    <w:spacing w:line="240" w:lineRule="auto"/>
                    <w:jc w:val="center"/>
                    <w:rPr>
                      <w:rFonts w:ascii="Times New Roman" w:hAnsi="Times New Roman" w:eastAsia="宋体"/>
                      <w:b/>
                      <w:bCs/>
                      <w:color w:val="auto"/>
                      <w:sz w:val="21"/>
                      <w:szCs w:val="21"/>
                    </w:rPr>
                  </w:pPr>
                  <w:r>
                    <w:rPr>
                      <w:rFonts w:ascii="Times New Roman" w:hAnsi="Times New Roman" w:eastAsia="宋体" w:cs="Times New Roman"/>
                      <w:b/>
                      <w:bCs/>
                      <w:color w:val="auto"/>
                      <w:sz w:val="21"/>
                      <w:szCs w:val="21"/>
                    </w:rPr>
                    <w:t>超标率（%）</w:t>
                  </w:r>
                </w:p>
              </w:tc>
              <w:tc>
                <w:tcPr>
                  <w:tcW w:w="523" w:type="pct"/>
                  <w:vMerge w:val="restart"/>
                  <w:tcBorders>
                    <w:top w:val="single" w:color="auto" w:sz="12" w:space="0"/>
                  </w:tcBorders>
                  <w:vAlign w:val="center"/>
                </w:tcPr>
                <w:p>
                  <w:pPr>
                    <w:spacing w:line="240" w:lineRule="auto"/>
                    <w:jc w:val="center"/>
                    <w:rPr>
                      <w:rFonts w:ascii="Times New Roman" w:hAnsi="Times New Roman" w:eastAsia="宋体"/>
                      <w:b/>
                      <w:bCs/>
                      <w:color w:val="auto"/>
                      <w:sz w:val="21"/>
                      <w:szCs w:val="21"/>
                    </w:rPr>
                  </w:pPr>
                  <w:r>
                    <w:rPr>
                      <w:rFonts w:ascii="Times New Roman" w:hAnsi="Times New Roman" w:eastAsia="宋体" w:cs="Times New Roman"/>
                      <w:b/>
                      <w:bCs/>
                      <w:color w:val="auto"/>
                      <w:sz w:val="21"/>
                      <w:szCs w:val="21"/>
                    </w:rPr>
                    <w:t>执行标准Ⅲ类</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bottom w:val="single" w:color="auto" w:sz="12" w:space="0"/>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vMerge w:val="continue"/>
                  <w:tcBorders>
                    <w:bottom w:val="single" w:color="auto" w:sz="12" w:space="0"/>
                    <w:tl2br w:val="nil"/>
                    <w:tr2bl w:val="nil"/>
                  </w:tcBorders>
                  <w:vAlign w:val="center"/>
                </w:tcPr>
                <w:p>
                  <w:pPr>
                    <w:spacing w:line="240" w:lineRule="auto"/>
                    <w:jc w:val="center"/>
                    <w:rPr>
                      <w:rFonts w:ascii="Times New Roman" w:hAnsi="Times New Roman" w:eastAsia="宋体"/>
                      <w:color w:val="auto"/>
                      <w:sz w:val="21"/>
                      <w:szCs w:val="21"/>
                    </w:rPr>
                  </w:pPr>
                </w:p>
              </w:tc>
              <w:tc>
                <w:tcPr>
                  <w:tcW w:w="485" w:type="pct"/>
                  <w:vMerge w:val="continue"/>
                  <w:tcBorders>
                    <w:bottom w:val="single" w:color="auto" w:sz="12" w:space="0"/>
                    <w:tl2br w:val="nil"/>
                    <w:tr2bl w:val="nil"/>
                  </w:tcBorders>
                  <w:vAlign w:val="center"/>
                </w:tcPr>
                <w:p>
                  <w:pPr>
                    <w:spacing w:line="240" w:lineRule="auto"/>
                    <w:jc w:val="center"/>
                    <w:rPr>
                      <w:rFonts w:ascii="Times New Roman" w:hAnsi="Times New Roman" w:eastAsia="宋体"/>
                      <w:color w:val="auto"/>
                      <w:sz w:val="21"/>
                      <w:szCs w:val="21"/>
                    </w:rPr>
                  </w:pPr>
                </w:p>
              </w:tc>
              <w:tc>
                <w:tcPr>
                  <w:tcW w:w="663" w:type="pct"/>
                  <w:tcBorders>
                    <w:bottom w:val="single" w:color="auto" w:sz="12" w:space="0"/>
                    <w:tl2br w:val="nil"/>
                    <w:tr2bl w:val="nil"/>
                  </w:tcBorders>
                  <w:vAlign w:val="center"/>
                </w:tcPr>
                <w:p>
                  <w:pPr>
                    <w:spacing w:line="240" w:lineRule="auto"/>
                    <w:jc w:val="center"/>
                    <w:rPr>
                      <w:rFonts w:ascii="Times New Roman" w:hAnsi="Times New Roman" w:eastAsia="宋体"/>
                      <w:b/>
                      <w:bCs/>
                      <w:color w:val="auto"/>
                      <w:sz w:val="21"/>
                      <w:szCs w:val="21"/>
                    </w:rPr>
                  </w:pPr>
                  <w:r>
                    <w:rPr>
                      <w:rFonts w:hint="eastAsia" w:ascii="Times New Roman" w:hAnsi="Times New Roman" w:eastAsia="宋体"/>
                      <w:b/>
                      <w:bCs/>
                      <w:color w:val="auto"/>
                      <w:sz w:val="21"/>
                      <w:szCs w:val="21"/>
                    </w:rPr>
                    <w:t>06月06日</w:t>
                  </w:r>
                </w:p>
              </w:tc>
              <w:tc>
                <w:tcPr>
                  <w:tcW w:w="624" w:type="pct"/>
                  <w:tcBorders>
                    <w:bottom w:val="single" w:color="auto" w:sz="12" w:space="0"/>
                    <w:tl2br w:val="nil"/>
                    <w:tr2bl w:val="nil"/>
                  </w:tcBorders>
                  <w:vAlign w:val="center"/>
                </w:tcPr>
                <w:p>
                  <w:pPr>
                    <w:spacing w:line="240" w:lineRule="auto"/>
                    <w:jc w:val="center"/>
                    <w:rPr>
                      <w:rFonts w:ascii="Times New Roman" w:hAnsi="Times New Roman" w:eastAsia="宋体"/>
                      <w:b/>
                      <w:bCs/>
                      <w:color w:val="auto"/>
                      <w:sz w:val="21"/>
                      <w:szCs w:val="21"/>
                    </w:rPr>
                  </w:pPr>
                  <w:r>
                    <w:rPr>
                      <w:rFonts w:hint="eastAsia" w:ascii="Times New Roman" w:hAnsi="Times New Roman" w:eastAsia="宋体"/>
                      <w:b/>
                      <w:bCs/>
                      <w:color w:val="auto"/>
                      <w:sz w:val="21"/>
                      <w:szCs w:val="21"/>
                    </w:rPr>
                    <w:t>06月07日</w:t>
                  </w:r>
                </w:p>
              </w:tc>
              <w:tc>
                <w:tcPr>
                  <w:tcW w:w="699" w:type="pct"/>
                  <w:tcBorders>
                    <w:bottom w:val="single" w:color="auto" w:sz="12" w:space="0"/>
                    <w:tl2br w:val="nil"/>
                    <w:tr2bl w:val="nil"/>
                  </w:tcBorders>
                  <w:vAlign w:val="center"/>
                </w:tcPr>
                <w:p>
                  <w:pPr>
                    <w:spacing w:line="240" w:lineRule="auto"/>
                    <w:jc w:val="center"/>
                    <w:rPr>
                      <w:rFonts w:ascii="Times New Roman" w:hAnsi="Times New Roman" w:eastAsia="宋体"/>
                      <w:b/>
                      <w:bCs/>
                      <w:color w:val="auto"/>
                      <w:sz w:val="21"/>
                      <w:szCs w:val="21"/>
                    </w:rPr>
                  </w:pPr>
                  <w:r>
                    <w:rPr>
                      <w:rFonts w:hint="eastAsia" w:ascii="Times New Roman" w:hAnsi="Times New Roman" w:eastAsia="宋体"/>
                      <w:b/>
                      <w:bCs/>
                      <w:color w:val="auto"/>
                      <w:sz w:val="21"/>
                      <w:szCs w:val="21"/>
                    </w:rPr>
                    <w:t>06月08日</w:t>
                  </w:r>
                </w:p>
              </w:tc>
              <w:tc>
                <w:tcPr>
                  <w:tcW w:w="456" w:type="pct"/>
                  <w:vMerge w:val="continue"/>
                  <w:tcBorders>
                    <w:bottom w:val="single" w:color="auto" w:sz="12" w:space="0"/>
                    <w:tl2br w:val="nil"/>
                    <w:tr2bl w:val="nil"/>
                  </w:tcBorders>
                  <w:vAlign w:val="center"/>
                </w:tcPr>
                <w:p>
                  <w:pPr>
                    <w:spacing w:line="240" w:lineRule="auto"/>
                    <w:jc w:val="center"/>
                    <w:rPr>
                      <w:rFonts w:ascii="Times New Roman" w:hAnsi="Times New Roman" w:eastAsia="宋体"/>
                      <w:color w:val="auto"/>
                      <w:sz w:val="21"/>
                      <w:szCs w:val="21"/>
                    </w:rPr>
                  </w:pPr>
                </w:p>
              </w:tc>
              <w:tc>
                <w:tcPr>
                  <w:tcW w:w="518" w:type="pct"/>
                  <w:vMerge w:val="continue"/>
                  <w:tcBorders>
                    <w:bottom w:val="single" w:color="auto" w:sz="12" w:space="0"/>
                    <w:tl2br w:val="nil"/>
                    <w:tr2bl w:val="nil"/>
                  </w:tcBorders>
                  <w:vAlign w:val="center"/>
                </w:tcPr>
                <w:p>
                  <w:pPr>
                    <w:spacing w:line="240" w:lineRule="auto"/>
                    <w:jc w:val="center"/>
                    <w:rPr>
                      <w:rFonts w:ascii="Times New Roman" w:hAnsi="Times New Roman" w:eastAsia="宋体"/>
                      <w:color w:val="auto"/>
                      <w:sz w:val="21"/>
                      <w:szCs w:val="21"/>
                    </w:rPr>
                  </w:pPr>
                </w:p>
              </w:tc>
              <w:tc>
                <w:tcPr>
                  <w:tcW w:w="524" w:type="pct"/>
                  <w:vMerge w:val="continue"/>
                  <w:tcBorders>
                    <w:bottom w:val="single" w:color="auto" w:sz="12" w:space="0"/>
                    <w:tl2br w:val="nil"/>
                    <w:tr2bl w:val="nil"/>
                  </w:tcBorders>
                  <w:vAlign w:val="center"/>
                </w:tcPr>
                <w:p>
                  <w:pPr>
                    <w:spacing w:line="240" w:lineRule="auto"/>
                    <w:jc w:val="center"/>
                    <w:rPr>
                      <w:rFonts w:ascii="Times New Roman" w:hAnsi="Times New Roman" w:eastAsia="宋体"/>
                      <w:color w:val="auto"/>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restart"/>
                  <w:tcBorders>
                    <w:top w:val="single" w:color="auto" w:sz="12" w:space="0"/>
                  </w:tcBorders>
                  <w:vAlign w:val="center"/>
                </w:tcPr>
                <w:p>
                  <w:pPr>
                    <w:pStyle w:val="2"/>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W1：</w:t>
                  </w:r>
                </w:p>
                <w:p>
                  <w:pPr>
                    <w:pStyle w:val="2"/>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北港河107国道处</w:t>
                  </w:r>
                </w:p>
              </w:tc>
              <w:tc>
                <w:tcPr>
                  <w:tcW w:w="553" w:type="pct"/>
                  <w:tcBorders>
                    <w:top w:val="single" w:color="auto" w:sz="12" w:space="0"/>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pH</w:t>
                  </w:r>
                </w:p>
              </w:tc>
              <w:tc>
                <w:tcPr>
                  <w:tcW w:w="485" w:type="pct"/>
                  <w:tcBorders>
                    <w:top w:val="single" w:color="auto" w:sz="12" w:space="0"/>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无量纲</w:t>
                  </w:r>
                </w:p>
              </w:tc>
              <w:tc>
                <w:tcPr>
                  <w:tcW w:w="663" w:type="pct"/>
                  <w:tcBorders>
                    <w:top w:val="single" w:color="auto" w:sz="12" w:space="0"/>
                  </w:tcBorders>
                  <w:vAlign w:val="center"/>
                </w:tcPr>
                <w:p>
                  <w:pPr>
                    <w:pStyle w:val="2"/>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7.20</w:t>
                  </w:r>
                </w:p>
              </w:tc>
              <w:tc>
                <w:tcPr>
                  <w:tcW w:w="624" w:type="pct"/>
                  <w:tcBorders>
                    <w:top w:val="single" w:color="auto" w:sz="12" w:space="0"/>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7.16</w:t>
                  </w:r>
                </w:p>
              </w:tc>
              <w:tc>
                <w:tcPr>
                  <w:tcW w:w="699" w:type="pct"/>
                  <w:tcBorders>
                    <w:top w:val="single" w:color="auto" w:sz="12" w:space="0"/>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7.22</w:t>
                  </w:r>
                </w:p>
              </w:tc>
              <w:tc>
                <w:tcPr>
                  <w:tcW w:w="456" w:type="pct"/>
                  <w:tcBorders>
                    <w:top w:val="single" w:color="auto" w:sz="12" w:space="0"/>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1.03</w:t>
                  </w:r>
                </w:p>
              </w:tc>
              <w:tc>
                <w:tcPr>
                  <w:tcW w:w="518" w:type="pct"/>
                  <w:tcBorders>
                    <w:top w:val="single" w:color="auto" w:sz="12" w:space="0"/>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100</w:t>
                  </w:r>
                </w:p>
              </w:tc>
              <w:tc>
                <w:tcPr>
                  <w:tcW w:w="524" w:type="pct"/>
                  <w:tcBorders>
                    <w:top w:val="single" w:color="auto" w:sz="12" w:space="0"/>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6~7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透明度</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cm</w:t>
                  </w:r>
                </w:p>
              </w:tc>
              <w:tc>
                <w:tcPr>
                  <w:tcW w:w="66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0.90</w:t>
                  </w:r>
                </w:p>
              </w:tc>
              <w:tc>
                <w:tcPr>
                  <w:tcW w:w="6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0.90</w:t>
                  </w:r>
                </w:p>
              </w:tc>
              <w:tc>
                <w:tcPr>
                  <w:tcW w:w="699"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0.90</w:t>
                  </w:r>
                </w:p>
              </w:tc>
              <w:tc>
                <w:tcPr>
                  <w:tcW w:w="456"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w:t>
                  </w:r>
                </w:p>
              </w:tc>
              <w:tc>
                <w:tcPr>
                  <w:tcW w:w="518"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w:t>
                  </w:r>
                </w:p>
              </w:tc>
              <w:tc>
                <w:tcPr>
                  <w:tcW w:w="5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氨氮</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3.786</w:t>
                  </w:r>
                </w:p>
              </w:tc>
              <w:tc>
                <w:tcPr>
                  <w:tcW w:w="6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3.654</w:t>
                  </w:r>
                </w:p>
              </w:tc>
              <w:tc>
                <w:tcPr>
                  <w:tcW w:w="699"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3.702</w:t>
                  </w:r>
                </w:p>
              </w:tc>
              <w:tc>
                <w:tcPr>
                  <w:tcW w:w="456"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3.78</w:t>
                  </w:r>
                </w:p>
              </w:tc>
              <w:tc>
                <w:tcPr>
                  <w:tcW w:w="518"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100</w:t>
                  </w:r>
                </w:p>
              </w:tc>
              <w:tc>
                <w:tcPr>
                  <w:tcW w:w="5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s="Times New Roman"/>
                      <w:color w:val="auto"/>
                      <w:kern w:val="0"/>
                      <w:szCs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pStyle w:val="2"/>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化学需氧量</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28</w:t>
                  </w:r>
                </w:p>
              </w:tc>
              <w:tc>
                <w:tcPr>
                  <w:tcW w:w="6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25</w:t>
                  </w:r>
                </w:p>
              </w:tc>
              <w:tc>
                <w:tcPr>
                  <w:tcW w:w="699"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27</w:t>
                  </w:r>
                </w:p>
              </w:tc>
              <w:tc>
                <w:tcPr>
                  <w:tcW w:w="456"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1.40</w:t>
                  </w:r>
                </w:p>
              </w:tc>
              <w:tc>
                <w:tcPr>
                  <w:tcW w:w="518"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100</w:t>
                  </w:r>
                </w:p>
              </w:tc>
              <w:tc>
                <w:tcPr>
                  <w:tcW w:w="5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s="Times New Roman"/>
                      <w:color w:val="auto"/>
                      <w:kern w:val="0"/>
                      <w:szCs w:val="21"/>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pStyle w:val="2"/>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总磷</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0.07</w:t>
                  </w:r>
                </w:p>
              </w:tc>
              <w:tc>
                <w:tcPr>
                  <w:tcW w:w="6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0.05</w:t>
                  </w:r>
                </w:p>
              </w:tc>
              <w:tc>
                <w:tcPr>
                  <w:tcW w:w="699"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0.05</w:t>
                  </w:r>
                </w:p>
              </w:tc>
              <w:tc>
                <w:tcPr>
                  <w:tcW w:w="456"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1.20</w:t>
                  </w:r>
                </w:p>
              </w:tc>
              <w:tc>
                <w:tcPr>
                  <w:tcW w:w="518"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100</w:t>
                  </w:r>
                </w:p>
              </w:tc>
              <w:tc>
                <w:tcPr>
                  <w:tcW w:w="5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s="Times New Roman"/>
                      <w:color w:val="auto"/>
                      <w:kern w:val="0"/>
                      <w:szCs w:val="21"/>
                    </w:rPr>
                    <w:t>≤0.05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溶解氧</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5.8</w:t>
                  </w:r>
                </w:p>
              </w:tc>
              <w:tc>
                <w:tcPr>
                  <w:tcW w:w="6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5.6</w:t>
                  </w:r>
                </w:p>
              </w:tc>
              <w:tc>
                <w:tcPr>
                  <w:tcW w:w="699"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5.8</w:t>
                  </w:r>
                </w:p>
              </w:tc>
              <w:tc>
                <w:tcPr>
                  <w:tcW w:w="456"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0</w:t>
                  </w:r>
                </w:p>
              </w:tc>
              <w:tc>
                <w:tcPr>
                  <w:tcW w:w="518"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0</w:t>
                  </w:r>
                </w:p>
              </w:tc>
              <w:tc>
                <w:tcPr>
                  <w:tcW w:w="5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s="Times New Roman"/>
                      <w:color w:val="auto"/>
                      <w:kern w:val="0"/>
                      <w:szCs w:val="21"/>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氧化还原电位</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mV</w:t>
                  </w:r>
                </w:p>
              </w:tc>
              <w:tc>
                <w:tcPr>
                  <w:tcW w:w="66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114</w:t>
                  </w:r>
                </w:p>
              </w:tc>
              <w:tc>
                <w:tcPr>
                  <w:tcW w:w="6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110</w:t>
                  </w:r>
                </w:p>
              </w:tc>
              <w:tc>
                <w:tcPr>
                  <w:tcW w:w="699"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112</w:t>
                  </w:r>
                </w:p>
              </w:tc>
              <w:tc>
                <w:tcPr>
                  <w:tcW w:w="456"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w:t>
                  </w:r>
                </w:p>
              </w:tc>
              <w:tc>
                <w:tcPr>
                  <w:tcW w:w="518"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w:t>
                  </w:r>
                </w:p>
              </w:tc>
              <w:tc>
                <w:tcPr>
                  <w:tcW w:w="524"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restar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W2：北港河107过道处</w:t>
                  </w: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pH</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无量纲</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7.52</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7.42</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7.48</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1.07</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100</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6~7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透明度</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cm</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1.10</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1.10</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1.10</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氨氮</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3.700</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3.256</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3.518</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3.70</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100</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ascii="Times New Roman" w:hAnsi="Times New Roman" w:eastAsia="宋体" w:cs="Times New Roman"/>
                      <w:color w:val="auto"/>
                      <w:kern w:val="0"/>
                      <w:szCs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化学需氧量</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21</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18</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20</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1.05</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66.67</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ascii="Times New Roman" w:hAnsi="Times New Roman" w:eastAsia="宋体" w:cs="Times New Roman"/>
                      <w:color w:val="auto"/>
                      <w:kern w:val="0"/>
                      <w:szCs w:val="21"/>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总磷</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0.03</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0.02</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0.02</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ascii="Times New Roman" w:hAnsi="Times New Roman" w:eastAsia="宋体" w:cs="Times New Roman"/>
                      <w:color w:val="auto"/>
                      <w:kern w:val="0"/>
                      <w:szCs w:val="21"/>
                    </w:rPr>
                    <w:t>≤0.05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0.0</w:t>
                  </w: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溶解氧</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6.0</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5.8</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5.6</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ascii="Times New Roman" w:hAnsi="Times New Roman" w:eastAsia="宋体" w:cs="Times New Roman"/>
                      <w:color w:val="auto"/>
                      <w:kern w:val="0"/>
                      <w:szCs w:val="21"/>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氧化还原电位</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mV</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120</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118</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120</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restar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W3：北港河与王家河交汇处东岸</w:t>
                  </w: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pH</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无量纲</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7.12</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7.08</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7.10</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1.02</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100</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6~7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透明度</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cm</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0.95</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0.95</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0.95</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氨氮</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3.871</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3.824</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3.751</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3.87</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100</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ascii="Times New Roman" w:hAnsi="Times New Roman" w:eastAsia="宋体" w:cs="Times New Roman"/>
                      <w:color w:val="auto"/>
                      <w:kern w:val="0"/>
                      <w:szCs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化学需氧量</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23</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20</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21</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1.15</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100</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ascii="Times New Roman" w:hAnsi="Times New Roman" w:eastAsia="宋体" w:cs="Times New Roman"/>
                      <w:color w:val="auto"/>
                      <w:kern w:val="0"/>
                      <w:szCs w:val="21"/>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总磷</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0.04</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0.03</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0.03</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ascii="Times New Roman" w:hAnsi="Times New Roman" w:eastAsia="宋体" w:cs="Times New Roman"/>
                      <w:color w:val="auto"/>
                      <w:kern w:val="0"/>
                      <w:szCs w:val="21"/>
                    </w:rPr>
                    <w:t>≤0.05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溶解氧</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ascii="Times New Roman" w:hAnsi="Times New Roman" w:eastAsia="宋体"/>
                      <w:color w:val="auto"/>
                      <w:sz w:val="21"/>
                      <w:szCs w:val="21"/>
                    </w:rPr>
                    <w:t>mg/L</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6.1</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5.8</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6.0</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0</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ascii="Times New Roman" w:hAnsi="Times New Roman" w:eastAsia="宋体" w:cs="Times New Roman"/>
                      <w:color w:val="auto"/>
                      <w:kern w:val="0"/>
                      <w:szCs w:val="21"/>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vAlign w:val="center"/>
                </w:tcPr>
                <w:p>
                  <w:pPr>
                    <w:spacing w:line="240" w:lineRule="auto"/>
                    <w:jc w:val="center"/>
                    <w:rPr>
                      <w:rFonts w:ascii="Times New Roman" w:hAnsi="Times New Roman" w:eastAsia="宋体"/>
                      <w:color w:val="auto"/>
                      <w:sz w:val="21"/>
                      <w:szCs w:val="21"/>
                    </w:rPr>
                  </w:pPr>
                </w:p>
              </w:tc>
              <w:tc>
                <w:tcPr>
                  <w:tcW w:w="553"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氧化还原电位</w:t>
                  </w:r>
                </w:p>
              </w:tc>
              <w:tc>
                <w:tcPr>
                  <w:tcW w:w="485" w:type="pct"/>
                  <w:tcBorders>
                    <w:tl2br w:val="nil"/>
                    <w:tr2bl w:val="nil"/>
                  </w:tcBorders>
                  <w:vAlign w:val="center"/>
                </w:tcPr>
                <w:p>
                  <w:pPr>
                    <w:spacing w:line="240" w:lineRule="auto"/>
                    <w:jc w:val="center"/>
                    <w:rPr>
                      <w:rFonts w:ascii="Times New Roman" w:hAnsi="Times New Roman" w:eastAsia="宋体"/>
                      <w:color w:val="auto"/>
                      <w:sz w:val="21"/>
                      <w:szCs w:val="21"/>
                    </w:rPr>
                  </w:pPr>
                  <w:r>
                    <w:rPr>
                      <w:rFonts w:hint="eastAsia" w:ascii="Times New Roman" w:hAnsi="Times New Roman" w:eastAsia="宋体"/>
                      <w:color w:val="auto"/>
                      <w:sz w:val="21"/>
                      <w:szCs w:val="21"/>
                    </w:rPr>
                    <w:t>mV</w:t>
                  </w:r>
                </w:p>
              </w:tc>
              <w:tc>
                <w:tcPr>
                  <w:tcW w:w="663"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118</w:t>
                  </w:r>
                </w:p>
              </w:tc>
              <w:tc>
                <w:tcPr>
                  <w:tcW w:w="6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115</w:t>
                  </w:r>
                </w:p>
              </w:tc>
              <w:tc>
                <w:tcPr>
                  <w:tcW w:w="699"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kern w:val="0"/>
                      <w:sz w:val="21"/>
                      <w:szCs w:val="21"/>
                    </w:rPr>
                    <w:t>119</w:t>
                  </w:r>
                </w:p>
              </w:tc>
              <w:tc>
                <w:tcPr>
                  <w:tcW w:w="456"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c>
                <w:tcPr>
                  <w:tcW w:w="518"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c>
                <w:tcPr>
                  <w:tcW w:w="524" w:type="pct"/>
                  <w:tcBorders>
                    <w:tl2br w:val="nil"/>
                    <w:tr2bl w:val="nil"/>
                  </w:tcBorders>
                  <w:vAlign w:val="center"/>
                </w:tcPr>
                <w:p>
                  <w:pPr>
                    <w:spacing w:line="240" w:lineRule="auto"/>
                    <w:jc w:val="center"/>
                    <w:rPr>
                      <w:rFonts w:ascii="Times New Roman" w:hAnsi="Times New Roman" w:eastAsia="宋体"/>
                      <w:color w:val="auto"/>
                      <w:kern w:val="0"/>
                      <w:sz w:val="21"/>
                      <w:szCs w:val="21"/>
                    </w:rPr>
                  </w:pPr>
                  <w:r>
                    <w:rPr>
                      <w:rFonts w:hint="eastAsia" w:ascii="Times New Roman" w:hAnsi="Times New Roman" w:eastAsia="宋体"/>
                      <w:color w:val="auto"/>
                      <w:sz w:val="21"/>
                      <w:szCs w:val="21"/>
                    </w:rPr>
                    <w:t>——</w:t>
                  </w:r>
                </w:p>
              </w:tc>
            </w:tr>
          </w:tbl>
          <w:p>
            <w:pPr>
              <w:ind w:firstLine="480" w:firstLineChars="200"/>
              <w:rPr>
                <w:rFonts w:ascii="Times New Roman" w:hAnsi="Times New Roman" w:cs="Times New Roman"/>
                <w:color w:val="auto"/>
              </w:rPr>
            </w:pPr>
            <w:r>
              <w:rPr>
                <w:rFonts w:hint="eastAsia" w:ascii="Times New Roman" w:hAnsi="Times New Roman" w:cs="Times New Roman"/>
                <w:color w:val="auto"/>
              </w:rPr>
              <w:t>通过以上监测数据可知，北港河PH、氨氮、化学需氧量均超标，可能是因为所在区域部分污水管网未与污水处理厂接通，工业废水与生活污水随意排入北港河导致水质超标。</w:t>
            </w:r>
          </w:p>
          <w:p>
            <w:pPr>
              <w:pStyle w:val="6"/>
              <w:ind w:firstLine="482"/>
              <w:outlineLvl w:val="2"/>
              <w:rPr>
                <w:color w:val="auto"/>
              </w:rPr>
            </w:pPr>
            <w:r>
              <w:rPr>
                <w:rFonts w:hint="eastAsia" w:cs="Times New Roman"/>
                <w:color w:val="auto"/>
              </w:rPr>
              <w:t>南湖</w:t>
            </w:r>
          </w:p>
          <w:p>
            <w:pPr>
              <w:ind w:firstLine="480" w:firstLineChars="200"/>
              <w:rPr>
                <w:rFonts w:ascii="Times New Roman" w:hAnsi="Times New Roman" w:cs="Times New Roman"/>
                <w:color w:val="auto"/>
              </w:rPr>
            </w:pPr>
            <w:r>
              <w:rPr>
                <w:rFonts w:ascii="Times New Roman" w:hAnsi="Times New Roman" w:cs="Times New Roman"/>
                <w:color w:val="auto"/>
              </w:rPr>
              <w:t>（1）本次环评收集了2018年岳阳市环境保护监测中心对南湖常规监测断面的历史监测数据，说明现状南湖地表水环境质量现状情况。</w:t>
            </w:r>
          </w:p>
          <w:p>
            <w:pPr>
              <w:ind w:firstLine="480" w:firstLineChars="200"/>
              <w:rPr>
                <w:rFonts w:ascii="Times New Roman" w:hAnsi="Times New Roman" w:cs="Times New Roman"/>
                <w:color w:val="auto"/>
              </w:rPr>
            </w:pPr>
            <w:r>
              <w:rPr>
                <w:rFonts w:ascii="Times New Roman" w:hAnsi="Times New Roman" w:cs="Times New Roman"/>
                <w:color w:val="auto"/>
              </w:rPr>
              <w:t>监测因子：pH、溶解氧、总氮、氨氮、高锰酸盐指数、总磷、叶绿素a、透明度、水温等。</w:t>
            </w:r>
          </w:p>
          <w:p>
            <w:pPr>
              <w:ind w:firstLine="480" w:firstLineChars="200"/>
              <w:rPr>
                <w:rFonts w:ascii="Times New Roman" w:hAnsi="Times New Roman" w:cs="Times New Roman"/>
                <w:color w:val="auto"/>
              </w:rPr>
            </w:pPr>
            <w:r>
              <w:rPr>
                <w:rFonts w:ascii="Times New Roman" w:hAnsi="Times New Roman" w:cs="Times New Roman"/>
                <w:color w:val="auto"/>
              </w:rPr>
              <w:t>监测时间：2018年5月24日、6月5日、7月4日。</w:t>
            </w:r>
          </w:p>
          <w:p>
            <w:pPr>
              <w:ind w:firstLine="480" w:firstLineChars="200"/>
              <w:rPr>
                <w:rFonts w:ascii="Times New Roman" w:hAnsi="Times New Roman" w:cs="Times New Roman"/>
                <w:color w:val="auto"/>
              </w:rPr>
            </w:pPr>
            <w:r>
              <w:rPr>
                <w:rFonts w:ascii="Times New Roman" w:hAnsi="Times New Roman" w:cs="Times New Roman"/>
                <w:color w:val="auto"/>
              </w:rPr>
              <w:t>监测结果</w:t>
            </w:r>
          </w:p>
          <w:p>
            <w:pPr>
              <w:ind w:firstLine="480" w:firstLineChars="200"/>
              <w:rPr>
                <w:rFonts w:ascii="Times New Roman" w:hAnsi="Times New Roman" w:cs="Times New Roman"/>
                <w:color w:val="auto"/>
              </w:rPr>
            </w:pPr>
            <w:r>
              <w:rPr>
                <w:rFonts w:ascii="Times New Roman" w:hAnsi="Times New Roman" w:cs="Times New Roman"/>
                <w:color w:val="auto"/>
              </w:rPr>
              <w:t>监测结果见表3-</w:t>
            </w:r>
            <w:r>
              <w:rPr>
                <w:rFonts w:hint="eastAsia" w:ascii="Times New Roman" w:hAnsi="Times New Roman" w:cs="Times New Roman"/>
                <w:color w:val="auto"/>
              </w:rPr>
              <w:t>3</w:t>
            </w:r>
            <w:r>
              <w:rPr>
                <w:rFonts w:ascii="Times New Roman" w:hAnsi="Times New Roman" w:cs="Times New Roman"/>
                <w:color w:val="auto"/>
              </w:rPr>
              <w:t>。</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表3-</w:t>
            </w:r>
            <w:r>
              <w:rPr>
                <w:rFonts w:hint="eastAsia" w:ascii="Times New Roman" w:hAnsi="Times New Roman" w:cs="Times New Roman"/>
                <w:b/>
                <w:bCs/>
                <w:color w:val="auto"/>
              </w:rPr>
              <w:t>3</w:t>
            </w:r>
            <w:r>
              <w:rPr>
                <w:rFonts w:ascii="Times New Roman" w:hAnsi="Times New Roman" w:cs="Times New Roman"/>
                <w:b/>
                <w:bCs/>
                <w:color w:val="auto"/>
              </w:rPr>
              <w:t xml:space="preserve">  南湖地表水环境质量监测结果</w:t>
            </w:r>
          </w:p>
          <w:tbl>
            <w:tblPr>
              <w:tblStyle w:val="17"/>
              <w:tblW w:w="906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69"/>
              <w:gridCol w:w="1305"/>
              <w:gridCol w:w="7"/>
              <w:gridCol w:w="1314"/>
              <w:gridCol w:w="1699"/>
              <w:gridCol w:w="1585"/>
              <w:gridCol w:w="178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采样时间</w:t>
                  </w:r>
                </w:p>
              </w:tc>
              <w:tc>
                <w:tcPr>
                  <w:tcW w:w="1305"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监测项目</w:t>
                  </w:r>
                </w:p>
              </w:tc>
              <w:tc>
                <w:tcPr>
                  <w:tcW w:w="1321" w:type="dxa"/>
                  <w:gridSpan w:val="2"/>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计量单位</w:t>
                  </w:r>
                </w:p>
              </w:tc>
              <w:tc>
                <w:tcPr>
                  <w:tcW w:w="1699"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监测结果</w:t>
                  </w:r>
                </w:p>
              </w:tc>
              <w:tc>
                <w:tcPr>
                  <w:tcW w:w="1585"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超标率</w:t>
                  </w:r>
                </w:p>
              </w:tc>
              <w:tc>
                <w:tcPr>
                  <w:tcW w:w="1783"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标准值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restar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2018/5/24</w:t>
                  </w:r>
                </w:p>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2018/6/5</w:t>
                  </w:r>
                </w:p>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2018/7/24</w:t>
                  </w:r>
                </w:p>
              </w:tc>
              <w:tc>
                <w:tcPr>
                  <w:tcW w:w="1305"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pH值</w:t>
                  </w:r>
                </w:p>
              </w:tc>
              <w:tc>
                <w:tcPr>
                  <w:tcW w:w="1321" w:type="dxa"/>
                  <w:gridSpan w:val="2"/>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无量纲</w:t>
                  </w:r>
                </w:p>
              </w:tc>
              <w:tc>
                <w:tcPr>
                  <w:tcW w:w="1699"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7.40~7.62</w:t>
                  </w:r>
                </w:p>
              </w:tc>
              <w:tc>
                <w:tcPr>
                  <w:tcW w:w="1585"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w:t>
                  </w:r>
                </w:p>
              </w:tc>
              <w:tc>
                <w:tcPr>
                  <w:tcW w:w="1783"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30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总氮</w:t>
                  </w:r>
                </w:p>
              </w:tc>
              <w:tc>
                <w:tcPr>
                  <w:tcW w:w="1321" w:type="dxa"/>
                  <w:gridSpan w:val="2"/>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mg/L</w:t>
                  </w:r>
                </w:p>
              </w:tc>
              <w:tc>
                <w:tcPr>
                  <w:tcW w:w="1699"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1.41~3.16</w:t>
                  </w:r>
                </w:p>
              </w:tc>
              <w:tc>
                <w:tcPr>
                  <w:tcW w:w="158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100%</w:t>
                  </w:r>
                </w:p>
              </w:tc>
              <w:tc>
                <w:tcPr>
                  <w:tcW w:w="178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30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氨氮</w:t>
                  </w:r>
                </w:p>
              </w:tc>
              <w:tc>
                <w:tcPr>
                  <w:tcW w:w="1321" w:type="dxa"/>
                  <w:gridSpan w:val="2"/>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mg/L</w:t>
                  </w:r>
                </w:p>
              </w:tc>
              <w:tc>
                <w:tcPr>
                  <w:tcW w:w="1699"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0.065~0.118</w:t>
                  </w:r>
                </w:p>
              </w:tc>
              <w:tc>
                <w:tcPr>
                  <w:tcW w:w="158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w:t>
                  </w:r>
                </w:p>
              </w:tc>
              <w:tc>
                <w:tcPr>
                  <w:tcW w:w="178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305" w:type="dxa"/>
                  <w:tcBorders>
                    <w:tl2br w:val="nil"/>
                    <w:tr2bl w:val="nil"/>
                  </w:tcBorders>
                  <w:tcMar>
                    <w:top w:w="0" w:type="dxa"/>
                    <w:left w:w="0" w:type="dxa"/>
                    <w:bottom w:w="0" w:type="dxa"/>
                    <w:right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总磷</w:t>
                  </w:r>
                </w:p>
              </w:tc>
              <w:tc>
                <w:tcPr>
                  <w:tcW w:w="1321" w:type="dxa"/>
                  <w:gridSpan w:val="2"/>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mg/L</w:t>
                  </w:r>
                </w:p>
              </w:tc>
              <w:tc>
                <w:tcPr>
                  <w:tcW w:w="1699"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0.10~0.12</w:t>
                  </w:r>
                </w:p>
              </w:tc>
              <w:tc>
                <w:tcPr>
                  <w:tcW w:w="158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100%</w:t>
                  </w:r>
                </w:p>
              </w:tc>
              <w:tc>
                <w:tcPr>
                  <w:tcW w:w="178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305" w:type="dxa"/>
                  <w:tcBorders>
                    <w:tl2br w:val="nil"/>
                    <w:tr2bl w:val="nil"/>
                  </w:tcBorders>
                  <w:tcMar>
                    <w:top w:w="0" w:type="dxa"/>
                    <w:left w:w="0" w:type="dxa"/>
                    <w:bottom w:w="0" w:type="dxa"/>
                    <w:right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COD</w:t>
                  </w:r>
                </w:p>
              </w:tc>
              <w:tc>
                <w:tcPr>
                  <w:tcW w:w="1321" w:type="dxa"/>
                  <w:gridSpan w:val="2"/>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mg/L</w:t>
                  </w:r>
                </w:p>
              </w:tc>
              <w:tc>
                <w:tcPr>
                  <w:tcW w:w="1699"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10-18</w:t>
                  </w:r>
                </w:p>
              </w:tc>
              <w:tc>
                <w:tcPr>
                  <w:tcW w:w="158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w:t>
                  </w:r>
                </w:p>
              </w:tc>
              <w:tc>
                <w:tcPr>
                  <w:tcW w:w="178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305" w:type="dxa"/>
                  <w:tcBorders>
                    <w:tl2br w:val="nil"/>
                    <w:tr2bl w:val="nil"/>
                  </w:tcBorders>
                  <w:tcMar>
                    <w:top w:w="0" w:type="dxa"/>
                    <w:left w:w="0" w:type="dxa"/>
                    <w:bottom w:w="0" w:type="dxa"/>
                    <w:right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BOD</w:t>
                  </w:r>
                  <w:r>
                    <w:rPr>
                      <w:rFonts w:hint="eastAsia" w:ascii="Times New Roman" w:hAnsi="Times New Roman" w:cs="Times New Roman"/>
                      <w:color w:val="auto"/>
                      <w:sz w:val="21"/>
                      <w:szCs w:val="21"/>
                      <w:vertAlign w:val="subscript"/>
                    </w:rPr>
                    <w:t>5</w:t>
                  </w:r>
                </w:p>
              </w:tc>
              <w:tc>
                <w:tcPr>
                  <w:tcW w:w="1321" w:type="dxa"/>
                  <w:gridSpan w:val="2"/>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mg/L</w:t>
                  </w:r>
                </w:p>
              </w:tc>
              <w:tc>
                <w:tcPr>
                  <w:tcW w:w="1699"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3.2-3.8</w:t>
                  </w:r>
                </w:p>
              </w:tc>
              <w:tc>
                <w:tcPr>
                  <w:tcW w:w="158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78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312" w:type="dxa"/>
                  <w:gridSpan w:val="2"/>
                  <w:tcBorders>
                    <w:tl2br w:val="nil"/>
                    <w:tr2bl w:val="nil"/>
                  </w:tcBorders>
                  <w:tcMar>
                    <w:top w:w="0" w:type="dxa"/>
                    <w:left w:w="0" w:type="dxa"/>
                    <w:bottom w:w="0" w:type="dxa"/>
                    <w:right w:w="0" w:type="dxa"/>
                  </w:tcMar>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粪大肠菌群</w:t>
                  </w:r>
                </w:p>
              </w:tc>
              <w:tc>
                <w:tcPr>
                  <w:tcW w:w="1314" w:type="dxa"/>
                  <w:tcBorders>
                    <w:tl2br w:val="nil"/>
                    <w:tr2bl w:val="nil"/>
                  </w:tcBorders>
                  <w:tcMar>
                    <w:top w:w="0" w:type="dxa"/>
                    <w:left w:w="0" w:type="dxa"/>
                    <w:bottom w:w="0" w:type="dxa"/>
                    <w:right w:w="0" w:type="dxa"/>
                  </w:tcMar>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kern w:val="24"/>
                      <w:sz w:val="21"/>
                      <w:szCs w:val="21"/>
                    </w:rPr>
                    <w:t>个/L</w:t>
                  </w:r>
                </w:p>
              </w:tc>
              <w:tc>
                <w:tcPr>
                  <w:tcW w:w="1699"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1600-2800</w:t>
                  </w:r>
                </w:p>
              </w:tc>
              <w:tc>
                <w:tcPr>
                  <w:tcW w:w="158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78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Arial" w:hAnsi="Arial" w:cs="Arial"/>
                      <w:color w:val="auto"/>
                      <w:sz w:val="21"/>
                      <w:szCs w:val="21"/>
                    </w:rPr>
                    <w:t>≤</w:t>
                  </w:r>
                  <w:r>
                    <w:rPr>
                      <w:rFonts w:hint="eastAsia" w:ascii="Times New Roman" w:hAnsi="Times New Roman" w:cs="Times New Roman"/>
                      <w:color w:val="auto"/>
                      <w:sz w:val="21"/>
                      <w:szCs w:val="21"/>
                    </w:rPr>
                    <w:t>10000</w:t>
                  </w:r>
                </w:p>
              </w:tc>
            </w:tr>
          </w:tbl>
          <w:p>
            <w:pPr>
              <w:ind w:firstLine="480" w:firstLineChars="200"/>
              <w:rPr>
                <w:rFonts w:ascii="Times New Roman" w:hAnsi="Times New Roman" w:cs="Times New Roman"/>
                <w:color w:val="auto"/>
              </w:rPr>
            </w:pPr>
            <w:r>
              <w:rPr>
                <w:rFonts w:ascii="Times New Roman" w:hAnsi="Times New Roman" w:cs="Times New Roman"/>
                <w:color w:val="auto"/>
              </w:rPr>
              <w:t>监测结果表明，南湖监测断面地表水环境总磷、总氮超标，其余因子能够达到《地表水环境质量标准》（GB3838-2002）中Ⅲ类标准要求。超标的原因为项目所在地生活污水污染。</w:t>
            </w:r>
          </w:p>
          <w:p>
            <w:pPr>
              <w:pStyle w:val="5"/>
              <w:ind w:firstLine="562"/>
              <w:outlineLvl w:val="1"/>
              <w:rPr>
                <w:rFonts w:cs="Times New Roman"/>
                <w:color w:val="auto"/>
                <w:highlight w:val="none"/>
              </w:rPr>
            </w:pPr>
            <w:r>
              <w:rPr>
                <w:rFonts w:cs="Times New Roman"/>
                <w:color w:val="auto"/>
                <w:highlight w:val="none"/>
              </w:rPr>
              <w:t>3、声环境</w:t>
            </w:r>
            <w:r>
              <w:rPr>
                <w:rFonts w:hint="eastAsia" w:cs="Times New Roman"/>
                <w:color w:val="auto"/>
                <w:highlight w:val="none"/>
              </w:rPr>
              <w:t>环境</w:t>
            </w:r>
            <w:r>
              <w:rPr>
                <w:rFonts w:cs="Times New Roman"/>
                <w:color w:val="auto"/>
                <w:highlight w:val="none"/>
              </w:rPr>
              <w:t>质量现状</w:t>
            </w:r>
          </w:p>
          <w:p>
            <w:pPr>
              <w:ind w:firstLine="480" w:firstLineChars="200"/>
              <w:rPr>
                <w:rFonts w:ascii="Times New Roman" w:hAnsi="Times New Roman" w:cs="Times New Roman"/>
                <w:color w:val="auto"/>
              </w:rPr>
            </w:pPr>
            <w:r>
              <w:rPr>
                <w:rFonts w:ascii="Times New Roman" w:hAnsi="Times New Roman" w:cs="Times New Roman"/>
                <w:color w:val="auto"/>
              </w:rPr>
              <w:t>（1）监测布点</w:t>
            </w:r>
          </w:p>
          <w:p>
            <w:pPr>
              <w:ind w:firstLine="480" w:firstLineChars="200"/>
              <w:rPr>
                <w:rFonts w:ascii="Times New Roman" w:hAnsi="Times New Roman" w:cs="Times New Roman"/>
                <w:color w:val="auto"/>
              </w:rPr>
            </w:pPr>
            <w:r>
              <w:rPr>
                <w:rFonts w:ascii="Times New Roman" w:hAnsi="Times New Roman" w:cs="Times New Roman"/>
                <w:color w:val="auto"/>
              </w:rPr>
              <w:t>为了解该区域内的声环境质量现状，</w:t>
            </w:r>
            <w:r>
              <w:rPr>
                <w:rFonts w:hint="eastAsia" w:ascii="Times New Roman" w:hAnsi="Times New Roman" w:cs="Times New Roman"/>
                <w:color w:val="auto"/>
              </w:rPr>
              <w:t>本项目引用《白象食品股份有限公司湖南分公司常规检测报告》中的噪声监测数据</w:t>
            </w:r>
            <w:r>
              <w:rPr>
                <w:rFonts w:ascii="Times New Roman" w:hAnsi="Times New Roman" w:cs="Times New Roman"/>
                <w:color w:val="auto"/>
              </w:rPr>
              <w:t>，根据本项目所在地目前环境特征，N1</w:t>
            </w:r>
            <w:r>
              <w:rPr>
                <w:rFonts w:hint="eastAsia" w:ascii="Times New Roman" w:hAnsi="Times New Roman" w:cs="Times New Roman"/>
                <w:color w:val="auto"/>
              </w:rPr>
              <w:t>东</w:t>
            </w:r>
            <w:r>
              <w:rPr>
                <w:rFonts w:ascii="Times New Roman" w:hAnsi="Times New Roman" w:cs="Times New Roman"/>
                <w:color w:val="auto"/>
              </w:rPr>
              <w:t>面厂界外1m处，N2</w:t>
            </w:r>
            <w:r>
              <w:rPr>
                <w:rFonts w:hint="eastAsia" w:ascii="Times New Roman" w:hAnsi="Times New Roman" w:cs="Times New Roman"/>
                <w:color w:val="auto"/>
              </w:rPr>
              <w:t>南</w:t>
            </w:r>
            <w:r>
              <w:rPr>
                <w:rFonts w:ascii="Times New Roman" w:hAnsi="Times New Roman" w:cs="Times New Roman"/>
                <w:color w:val="auto"/>
              </w:rPr>
              <w:t>面厂界外1m处，N3</w:t>
            </w:r>
            <w:r>
              <w:rPr>
                <w:rFonts w:hint="eastAsia" w:ascii="Times New Roman" w:hAnsi="Times New Roman" w:cs="Times New Roman"/>
                <w:color w:val="auto"/>
              </w:rPr>
              <w:t>西</w:t>
            </w:r>
            <w:r>
              <w:rPr>
                <w:rFonts w:ascii="Times New Roman" w:hAnsi="Times New Roman" w:cs="Times New Roman"/>
                <w:color w:val="auto"/>
              </w:rPr>
              <w:t>面厂界外1m处，N4</w:t>
            </w:r>
            <w:r>
              <w:rPr>
                <w:rFonts w:hint="eastAsia" w:ascii="Times New Roman" w:hAnsi="Times New Roman" w:cs="Times New Roman"/>
                <w:color w:val="auto"/>
              </w:rPr>
              <w:t>北</w:t>
            </w:r>
            <w:r>
              <w:rPr>
                <w:rFonts w:ascii="Times New Roman" w:hAnsi="Times New Roman" w:cs="Times New Roman"/>
                <w:color w:val="auto"/>
              </w:rPr>
              <w:t>面厂界外1m处。</w:t>
            </w:r>
          </w:p>
          <w:p>
            <w:pPr>
              <w:ind w:firstLine="480" w:firstLineChars="200"/>
              <w:rPr>
                <w:rFonts w:ascii="Times New Roman" w:hAnsi="Times New Roman" w:cs="Times New Roman"/>
                <w:color w:val="auto"/>
              </w:rPr>
            </w:pPr>
            <w:r>
              <w:rPr>
                <w:rFonts w:ascii="Times New Roman" w:hAnsi="Times New Roman" w:cs="Times New Roman"/>
                <w:color w:val="auto"/>
              </w:rPr>
              <w:t>（2）监测时间及频次</w:t>
            </w:r>
          </w:p>
          <w:p>
            <w:pPr>
              <w:ind w:firstLine="480" w:firstLineChars="200"/>
              <w:rPr>
                <w:rFonts w:ascii="Times New Roman" w:hAnsi="Times New Roman" w:cs="Times New Roman"/>
                <w:color w:val="auto"/>
              </w:rPr>
            </w:pPr>
            <w:r>
              <w:rPr>
                <w:rFonts w:ascii="Times New Roman" w:hAnsi="Times New Roman" w:cs="Times New Roman"/>
                <w:color w:val="auto"/>
              </w:rPr>
              <w:t>20</w:t>
            </w:r>
            <w:r>
              <w:rPr>
                <w:rFonts w:hint="eastAsia" w:ascii="Times New Roman" w:hAnsi="Times New Roman" w:cs="Times New Roman"/>
                <w:color w:val="auto"/>
              </w:rPr>
              <w:t>20</w:t>
            </w:r>
            <w:r>
              <w:rPr>
                <w:rFonts w:ascii="Times New Roman" w:hAnsi="Times New Roman" w:cs="Times New Roman"/>
                <w:color w:val="auto"/>
              </w:rPr>
              <w:t>年</w:t>
            </w:r>
            <w:r>
              <w:rPr>
                <w:rFonts w:hint="eastAsia" w:ascii="Times New Roman" w:hAnsi="Times New Roman" w:cs="Times New Roman"/>
                <w:color w:val="auto"/>
              </w:rPr>
              <w:t>11月09日</w:t>
            </w:r>
            <w:r>
              <w:rPr>
                <w:rFonts w:ascii="Times New Roman" w:hAnsi="Times New Roman" w:cs="Times New Roman"/>
                <w:color w:val="auto"/>
              </w:rPr>
              <w:t>，昼间、夜间各一次。</w:t>
            </w:r>
          </w:p>
          <w:p>
            <w:pPr>
              <w:ind w:firstLine="480" w:firstLineChars="200"/>
              <w:rPr>
                <w:rFonts w:ascii="Times New Roman" w:hAnsi="Times New Roman" w:cs="Times New Roman"/>
                <w:color w:val="auto"/>
              </w:rPr>
            </w:pPr>
            <w:r>
              <w:rPr>
                <w:rFonts w:ascii="Times New Roman" w:hAnsi="Times New Roman" w:cs="Times New Roman"/>
                <w:color w:val="auto"/>
              </w:rPr>
              <w:t>（3）执行标准</w:t>
            </w:r>
          </w:p>
          <w:p>
            <w:pPr>
              <w:ind w:firstLine="480" w:firstLineChars="200"/>
              <w:rPr>
                <w:rFonts w:ascii="Times New Roman" w:hAnsi="Times New Roman" w:cs="Times New Roman"/>
                <w:color w:val="auto"/>
              </w:rPr>
            </w:pPr>
            <w:r>
              <w:rPr>
                <w:rFonts w:ascii="Times New Roman" w:hAnsi="Times New Roman" w:cs="Times New Roman"/>
                <w:color w:val="auto"/>
              </w:rPr>
              <w:t>执行《声环境质量标准》（GB3096-2008）</w:t>
            </w:r>
            <w:r>
              <w:rPr>
                <w:rFonts w:hint="eastAsia" w:ascii="Times New Roman" w:hAnsi="Times New Roman" w:cs="Times New Roman"/>
                <w:color w:val="auto"/>
              </w:rPr>
              <w:t>2</w:t>
            </w:r>
            <w:r>
              <w:rPr>
                <w:rFonts w:ascii="Times New Roman" w:hAnsi="Times New Roman" w:cs="Times New Roman"/>
                <w:color w:val="auto"/>
              </w:rPr>
              <w:t>类标准</w:t>
            </w:r>
          </w:p>
          <w:p>
            <w:pPr>
              <w:ind w:firstLine="480" w:firstLineChars="200"/>
              <w:rPr>
                <w:rFonts w:ascii="Times New Roman" w:hAnsi="Times New Roman" w:cs="Times New Roman"/>
                <w:color w:val="auto"/>
              </w:rPr>
            </w:pPr>
            <w:r>
              <w:rPr>
                <w:rFonts w:ascii="Times New Roman" w:hAnsi="Times New Roman" w:cs="Times New Roman"/>
                <w:color w:val="auto"/>
              </w:rPr>
              <w:t>（4）监测结果：各监测点的监测结果统计见表3-</w:t>
            </w:r>
            <w:r>
              <w:rPr>
                <w:rFonts w:hint="eastAsia" w:ascii="Times New Roman" w:hAnsi="Times New Roman" w:cs="Times New Roman"/>
                <w:color w:val="auto"/>
              </w:rPr>
              <w:t>4</w:t>
            </w:r>
            <w:r>
              <w:rPr>
                <w:rFonts w:ascii="Times New Roman" w:hAnsi="Times New Roman" w:cs="Times New Roman"/>
                <w:color w:val="auto"/>
              </w:rPr>
              <w:t>。</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表3-</w:t>
            </w:r>
            <w:r>
              <w:rPr>
                <w:rFonts w:hint="eastAsia" w:ascii="Times New Roman" w:hAnsi="Times New Roman" w:cs="Times New Roman"/>
                <w:b/>
                <w:bCs/>
                <w:color w:val="auto"/>
              </w:rPr>
              <w:t>4</w:t>
            </w:r>
            <w:r>
              <w:rPr>
                <w:rFonts w:ascii="Times New Roman" w:hAnsi="Times New Roman" w:cs="Times New Roman"/>
                <w:b/>
                <w:bCs/>
                <w:color w:val="auto"/>
              </w:rPr>
              <w:t xml:space="preserve">  噪声监测结果  单位：[Leq（A）]</w:t>
            </w:r>
          </w:p>
          <w:tbl>
            <w:tblPr>
              <w:tblStyle w:val="18"/>
              <w:tblW w:w="906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1813"/>
              <w:gridCol w:w="1812"/>
              <w:gridCol w:w="1505"/>
              <w:gridCol w:w="212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监测点方位</w:t>
                  </w:r>
                </w:p>
              </w:tc>
              <w:tc>
                <w:tcPr>
                  <w:tcW w:w="1813"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监测日期</w:t>
                  </w:r>
                </w:p>
              </w:tc>
              <w:tc>
                <w:tcPr>
                  <w:tcW w:w="1812"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昼间</w:t>
                  </w:r>
                </w:p>
              </w:tc>
              <w:tc>
                <w:tcPr>
                  <w:tcW w:w="1505"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夜间</w:t>
                  </w:r>
                </w:p>
              </w:tc>
              <w:tc>
                <w:tcPr>
                  <w:tcW w:w="2120"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标准值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厂界东侧外1m</w:t>
                  </w:r>
                </w:p>
              </w:tc>
              <w:tc>
                <w:tcPr>
                  <w:tcW w:w="1813"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11</w:t>
                  </w:r>
                  <w:r>
                    <w:rPr>
                      <w:rFonts w:ascii="Times New Roman" w:hAnsi="Times New Roman" w:cs="Times New Roman"/>
                      <w:color w:val="auto"/>
                      <w:sz w:val="21"/>
                      <w:szCs w:val="21"/>
                    </w:rPr>
                    <w:t>月</w:t>
                  </w:r>
                  <w:r>
                    <w:rPr>
                      <w:rFonts w:hint="eastAsia" w:ascii="Times New Roman" w:hAnsi="Times New Roman" w:cs="Times New Roman"/>
                      <w:color w:val="auto"/>
                      <w:sz w:val="21"/>
                      <w:szCs w:val="21"/>
                    </w:rPr>
                    <w:t>9</w:t>
                  </w:r>
                  <w:r>
                    <w:rPr>
                      <w:rFonts w:ascii="Times New Roman" w:hAnsi="Times New Roman" w:cs="Times New Roman"/>
                      <w:color w:val="auto"/>
                      <w:sz w:val="21"/>
                      <w:szCs w:val="21"/>
                    </w:rPr>
                    <w:t>日</w:t>
                  </w:r>
                </w:p>
              </w:tc>
              <w:tc>
                <w:tcPr>
                  <w:tcW w:w="1812"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54.3</w:t>
                  </w:r>
                </w:p>
              </w:tc>
              <w:tc>
                <w:tcPr>
                  <w:tcW w:w="1505"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44.6</w:t>
                  </w:r>
                </w:p>
              </w:tc>
              <w:tc>
                <w:tcPr>
                  <w:tcW w:w="2120" w:type="dxa"/>
                  <w:vMerge w:val="restar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昼间≤60dB（A）</w:t>
                  </w:r>
                </w:p>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夜间≤50dB（A）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厂界南侧外1m</w:t>
                  </w:r>
                </w:p>
              </w:tc>
              <w:tc>
                <w:tcPr>
                  <w:tcW w:w="181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11</w:t>
                  </w:r>
                  <w:r>
                    <w:rPr>
                      <w:rFonts w:ascii="Times New Roman" w:hAnsi="Times New Roman" w:cs="Times New Roman"/>
                      <w:color w:val="auto"/>
                      <w:sz w:val="21"/>
                      <w:szCs w:val="21"/>
                    </w:rPr>
                    <w:t>月</w:t>
                  </w:r>
                  <w:r>
                    <w:rPr>
                      <w:rFonts w:hint="eastAsia" w:ascii="Times New Roman" w:hAnsi="Times New Roman" w:cs="Times New Roman"/>
                      <w:color w:val="auto"/>
                      <w:sz w:val="21"/>
                      <w:szCs w:val="21"/>
                    </w:rPr>
                    <w:t>9</w:t>
                  </w:r>
                  <w:r>
                    <w:rPr>
                      <w:rFonts w:ascii="Times New Roman" w:hAnsi="Times New Roman" w:cs="Times New Roman"/>
                      <w:color w:val="auto"/>
                      <w:sz w:val="21"/>
                      <w:szCs w:val="21"/>
                    </w:rPr>
                    <w:t>日</w:t>
                  </w:r>
                </w:p>
              </w:tc>
              <w:tc>
                <w:tcPr>
                  <w:tcW w:w="18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55.0</w:t>
                  </w:r>
                </w:p>
              </w:tc>
              <w:tc>
                <w:tcPr>
                  <w:tcW w:w="150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45.0</w:t>
                  </w:r>
                </w:p>
              </w:tc>
              <w:tc>
                <w:tcPr>
                  <w:tcW w:w="2120"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厂界西侧外1m</w:t>
                  </w:r>
                </w:p>
              </w:tc>
              <w:tc>
                <w:tcPr>
                  <w:tcW w:w="181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11</w:t>
                  </w:r>
                  <w:r>
                    <w:rPr>
                      <w:rFonts w:ascii="Times New Roman" w:hAnsi="Times New Roman" w:cs="Times New Roman"/>
                      <w:color w:val="auto"/>
                      <w:sz w:val="21"/>
                      <w:szCs w:val="21"/>
                    </w:rPr>
                    <w:t>月</w:t>
                  </w:r>
                  <w:r>
                    <w:rPr>
                      <w:rFonts w:hint="eastAsia" w:ascii="Times New Roman" w:hAnsi="Times New Roman" w:cs="Times New Roman"/>
                      <w:color w:val="auto"/>
                      <w:sz w:val="21"/>
                      <w:szCs w:val="21"/>
                    </w:rPr>
                    <w:t>9</w:t>
                  </w:r>
                  <w:r>
                    <w:rPr>
                      <w:rFonts w:ascii="Times New Roman" w:hAnsi="Times New Roman" w:cs="Times New Roman"/>
                      <w:color w:val="auto"/>
                      <w:sz w:val="21"/>
                      <w:szCs w:val="21"/>
                    </w:rPr>
                    <w:t>日</w:t>
                  </w:r>
                </w:p>
              </w:tc>
              <w:tc>
                <w:tcPr>
                  <w:tcW w:w="18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55.9</w:t>
                  </w:r>
                </w:p>
              </w:tc>
              <w:tc>
                <w:tcPr>
                  <w:tcW w:w="150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45.7</w:t>
                  </w:r>
                </w:p>
              </w:tc>
              <w:tc>
                <w:tcPr>
                  <w:tcW w:w="2120"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厂界北侧外1m</w:t>
                  </w:r>
                </w:p>
              </w:tc>
              <w:tc>
                <w:tcPr>
                  <w:tcW w:w="181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11</w:t>
                  </w:r>
                  <w:r>
                    <w:rPr>
                      <w:rFonts w:ascii="Times New Roman" w:hAnsi="Times New Roman" w:cs="Times New Roman"/>
                      <w:color w:val="auto"/>
                      <w:sz w:val="21"/>
                      <w:szCs w:val="21"/>
                    </w:rPr>
                    <w:t>月</w:t>
                  </w:r>
                  <w:r>
                    <w:rPr>
                      <w:rFonts w:hint="eastAsia" w:ascii="Times New Roman" w:hAnsi="Times New Roman" w:cs="Times New Roman"/>
                      <w:color w:val="auto"/>
                      <w:sz w:val="21"/>
                      <w:szCs w:val="21"/>
                    </w:rPr>
                    <w:t>9</w:t>
                  </w:r>
                  <w:r>
                    <w:rPr>
                      <w:rFonts w:ascii="Times New Roman" w:hAnsi="Times New Roman" w:cs="Times New Roman"/>
                      <w:color w:val="auto"/>
                      <w:sz w:val="21"/>
                      <w:szCs w:val="21"/>
                    </w:rPr>
                    <w:t>日</w:t>
                  </w:r>
                </w:p>
              </w:tc>
              <w:tc>
                <w:tcPr>
                  <w:tcW w:w="1812"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56.4</w:t>
                  </w:r>
                </w:p>
              </w:tc>
              <w:tc>
                <w:tcPr>
                  <w:tcW w:w="150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47.4</w:t>
                  </w:r>
                </w:p>
              </w:tc>
              <w:tc>
                <w:tcPr>
                  <w:tcW w:w="2120"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r>
          </w:tbl>
          <w:p>
            <w:pPr>
              <w:spacing w:line="480" w:lineRule="exact"/>
              <w:ind w:firstLine="480" w:firstLineChars="200"/>
              <w:rPr>
                <w:rFonts w:ascii="Times New Roman" w:hAnsi="Times New Roman" w:cs="Times New Roman"/>
                <w:color w:val="auto"/>
              </w:rPr>
            </w:pPr>
            <w:r>
              <w:rPr>
                <w:rFonts w:hint="eastAsia" w:ascii="Times New Roman" w:hAnsi="Times New Roman" w:cs="Times New Roman"/>
                <w:color w:val="auto"/>
              </w:rPr>
              <w:t>监测期间企业正常生产，故</w:t>
            </w:r>
            <w:r>
              <w:rPr>
                <w:rFonts w:ascii="Times New Roman" w:hAnsi="Times New Roman" w:cs="Times New Roman"/>
                <w:color w:val="auto"/>
              </w:rPr>
              <w:t>本项目执行营运期厂界噪声执行《声环境质量标准》（GB3096-2008）</w:t>
            </w:r>
            <w:r>
              <w:rPr>
                <w:rFonts w:hint="eastAsia" w:ascii="Times New Roman" w:hAnsi="Times New Roman" w:cs="Times New Roman"/>
                <w:color w:val="auto"/>
              </w:rPr>
              <w:t>2</w:t>
            </w:r>
            <w:r>
              <w:rPr>
                <w:rFonts w:ascii="Times New Roman" w:hAnsi="Times New Roman" w:cs="Times New Roman"/>
                <w:color w:val="auto"/>
              </w:rPr>
              <w:t>类标准，（昼间≤60dB（A），夜间≤50dB（A）），由上表监测结果可知，项目东面、西面、南面、北面均能满足要求</w:t>
            </w:r>
            <w:r>
              <w:rPr>
                <w:rFonts w:hint="eastAsia" w:ascii="Times New Roman" w:hAnsi="Times New Roman" w:cs="Times New Roman"/>
                <w:color w:val="auto"/>
              </w:rPr>
              <w:t>，</w:t>
            </w:r>
            <w:r>
              <w:rPr>
                <w:rFonts w:ascii="Times New Roman" w:hAnsi="Times New Roman" w:cs="Times New Roman"/>
                <w:color w:val="auto"/>
              </w:rPr>
              <w:t>区域声环境质量良好。</w:t>
            </w:r>
          </w:p>
          <w:p>
            <w:pPr>
              <w:pStyle w:val="5"/>
              <w:ind w:firstLine="562"/>
              <w:outlineLvl w:val="1"/>
              <w:rPr>
                <w:rFonts w:cs="Times New Roman"/>
                <w:color w:val="auto"/>
              </w:rPr>
            </w:pPr>
            <w:r>
              <w:rPr>
                <w:rFonts w:hint="eastAsia" w:cs="Times New Roman"/>
                <w:color w:val="auto"/>
              </w:rPr>
              <w:t>4、土壤环境</w:t>
            </w:r>
            <w:r>
              <w:rPr>
                <w:rFonts w:cs="Times New Roman"/>
                <w:color w:val="auto"/>
              </w:rPr>
              <w:t>质量现状与评价</w:t>
            </w:r>
          </w:p>
          <w:p>
            <w:pPr>
              <w:spacing w:line="480" w:lineRule="exact"/>
              <w:ind w:firstLine="480" w:firstLineChars="200"/>
              <w:rPr>
                <w:rFonts w:ascii="Times New Roman" w:hAnsi="Times New Roman" w:cs="Times New Roman"/>
                <w:color w:val="auto"/>
              </w:rPr>
            </w:pPr>
            <w:r>
              <w:rPr>
                <w:rFonts w:ascii="Times New Roman" w:hAnsi="Times New Roman" w:cs="Times New Roman"/>
                <w:color w:val="auto"/>
              </w:rPr>
              <w:t>根据《环境影响评价技术导则土壤环境》 (HJ964-2018) 中4.2.2可知，根据行业特征、工艺特点或规模大小将建设项目类别分为I类、II类、II类、IV类，见附录A,其中IV类建设项目可不开展土壤环境影响评价。</w:t>
            </w:r>
          </w:p>
          <w:p>
            <w:pPr>
              <w:spacing w:line="480" w:lineRule="exact"/>
              <w:ind w:firstLine="480" w:firstLineChars="200"/>
              <w:rPr>
                <w:rFonts w:ascii="Times New Roman" w:hAnsi="Times New Roman" w:cs="Times New Roman"/>
                <w:color w:val="auto"/>
              </w:rPr>
            </w:pPr>
            <w:r>
              <w:rPr>
                <w:rFonts w:ascii="Times New Roman" w:hAnsi="Times New Roman" w:cs="Times New Roman"/>
                <w:color w:val="auto"/>
              </w:rPr>
              <w:t>本项目新增1台</w:t>
            </w:r>
            <w:r>
              <w:rPr>
                <w:rFonts w:hint="eastAsia" w:ascii="Times New Roman" w:hAnsi="Times New Roman" w:cs="Times New Roman"/>
                <w:color w:val="auto"/>
              </w:rPr>
              <w:t>15</w:t>
            </w:r>
            <w:r>
              <w:rPr>
                <w:rFonts w:ascii="Times New Roman" w:hAnsi="Times New Roman" w:cs="Times New Roman"/>
                <w:color w:val="auto"/>
              </w:rPr>
              <w:t>t</w:t>
            </w:r>
            <w:r>
              <w:rPr>
                <w:rFonts w:hint="eastAsia" w:ascii="Times New Roman" w:hAnsi="Times New Roman" w:cs="Times New Roman"/>
                <w:color w:val="auto"/>
              </w:rPr>
              <w:t>/</w:t>
            </w:r>
            <w:r>
              <w:rPr>
                <w:rFonts w:ascii="Times New Roman" w:hAnsi="Times New Roman" w:cs="Times New Roman"/>
                <w:color w:val="auto"/>
              </w:rPr>
              <w:t>h</w:t>
            </w:r>
            <w:r>
              <w:rPr>
                <w:rFonts w:hint="eastAsia" w:ascii="Times New Roman" w:hAnsi="Times New Roman" w:cs="Times New Roman"/>
                <w:color w:val="auto"/>
              </w:rPr>
              <w:t>天然</w:t>
            </w:r>
            <w:r>
              <w:rPr>
                <w:rFonts w:ascii="Times New Roman" w:hAnsi="Times New Roman" w:cs="Times New Roman"/>
                <w:color w:val="auto"/>
              </w:rPr>
              <w:t>气锅炉，属于制造行业中“电力热力燃气及水生产和供应业”中的其他，根据导则附录A可知，土壤环境影响评价项目类别为IV类，可不开展土壤环境影响评价。</w:t>
            </w:r>
          </w:p>
          <w:p>
            <w:pPr>
              <w:pStyle w:val="5"/>
              <w:ind w:left="480" w:leftChars="200" w:firstLine="0" w:firstLineChars="0"/>
              <w:outlineLvl w:val="1"/>
              <w:rPr>
                <w:rFonts w:cs="Times New Roman"/>
                <w:color w:val="auto"/>
              </w:rPr>
            </w:pPr>
            <w:r>
              <w:rPr>
                <w:rFonts w:hint="eastAsia" w:cs="Times New Roman"/>
                <w:color w:val="auto"/>
              </w:rPr>
              <w:t>5、地下水环境质量现状</w:t>
            </w:r>
          </w:p>
          <w:p>
            <w:pPr>
              <w:spacing w:line="480" w:lineRule="exact"/>
              <w:ind w:firstLine="480" w:firstLineChars="200"/>
              <w:rPr>
                <w:color w:val="auto"/>
              </w:rPr>
            </w:pPr>
            <w:r>
              <w:rPr>
                <w:rFonts w:ascii="Times New Roman" w:hAnsi="Times New Roman" w:cs="Times New Roman"/>
                <w:color w:val="auto"/>
              </w:rPr>
              <w:t>根据《环境影响评价技术导则地下水环境》(HJ 610-2016)附录A,本项目属于“U城镇基础设施及房地产”中的“142、热力生产和供应工程”中的其他类，环评类别为报告表，地下水环境影响评价项目类别属于IV类。因此本环评不对地下水进行详细的环境影响评价分析。</w:t>
            </w:r>
          </w:p>
          <w:p>
            <w:pPr>
              <w:pStyle w:val="5"/>
              <w:ind w:firstLine="562"/>
              <w:outlineLvl w:val="1"/>
              <w:rPr>
                <w:rFonts w:cs="Times New Roman"/>
                <w:color w:val="auto"/>
              </w:rPr>
            </w:pPr>
            <w:r>
              <w:rPr>
                <w:rFonts w:hint="eastAsia" w:cs="Times New Roman"/>
                <w:color w:val="auto"/>
              </w:rPr>
              <w:t>6</w:t>
            </w:r>
            <w:r>
              <w:rPr>
                <w:rFonts w:cs="Times New Roman"/>
                <w:color w:val="auto"/>
              </w:rPr>
              <w:t>、生态环境质量现状</w:t>
            </w:r>
          </w:p>
          <w:p>
            <w:pPr>
              <w:ind w:firstLine="480" w:firstLineChars="200"/>
              <w:rPr>
                <w:rFonts w:ascii="Times New Roman" w:hAnsi="Times New Roman" w:cs="Times New Roman"/>
                <w:color w:val="auto"/>
              </w:rPr>
            </w:pPr>
            <w:r>
              <w:rPr>
                <w:color w:val="auto"/>
              </w:rPr>
              <w:t>根据生态环境现状调查，</w:t>
            </w:r>
            <w:r>
              <w:rPr>
                <w:rFonts w:hint="eastAsia" w:ascii="Times New Roman" w:hAnsi="Times New Roman"/>
                <w:color w:val="auto"/>
                <w:lang w:val="zh-CN"/>
              </w:rPr>
              <w:t>项目位于城市城区，基本以城市生态系统为主，人类活动频繁。</w:t>
            </w:r>
            <w:r>
              <w:rPr>
                <w:color w:val="auto"/>
              </w:rPr>
              <w:t>评价区域植被数量较多，但种类不丰富，生态系统稳定度和生态恢复能力一般。区域野生动物较少，未发现珍稀濒危物种。评价区域整体水土流失不明显。项目拟建地内植被稀少，无珍稀物种和国家保护物种。</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9288" w:type="dxa"/>
            <w:tcBorders>
              <w:tl2br w:val="nil"/>
              <w:tr2bl w:val="nil"/>
            </w:tcBorders>
          </w:tcPr>
          <w:p>
            <w:pPr>
              <w:rPr>
                <w:b/>
                <w:bCs/>
                <w:color w:val="auto"/>
              </w:rPr>
            </w:pPr>
            <w:r>
              <w:rPr>
                <w:rFonts w:hint="eastAsia"/>
                <w:b/>
                <w:bCs/>
                <w:color w:val="auto"/>
              </w:rPr>
              <w:t>主要环境保护目标（列出名单及保护级别）</w:t>
            </w:r>
          </w:p>
          <w:p>
            <w:pPr>
              <w:ind w:firstLine="480" w:firstLineChars="200"/>
              <w:rPr>
                <w:color w:val="auto"/>
              </w:rPr>
            </w:pPr>
            <w:r>
              <w:rPr>
                <w:rFonts w:hint="eastAsia" w:ascii="Times New Roman" w:hAnsi="Times New Roman" w:cs="Times New Roman"/>
                <w:color w:val="auto"/>
              </w:rPr>
              <w:t>本项目位于</w:t>
            </w:r>
            <w:r>
              <w:rPr>
                <w:rFonts w:hint="eastAsia" w:ascii="Times New Roman" w:hAnsi="Times New Roman" w:cs="Times New Roman"/>
                <w:color w:val="auto"/>
                <w:lang w:val="zh-TW"/>
              </w:rPr>
              <w:t>岳阳经济技术开发区王家畈路以南，八字门路以东地块内，用地性质属于工业用地。</w:t>
            </w:r>
            <w:r>
              <w:rPr>
                <w:rFonts w:ascii="Times New Roman" w:hAnsi="Times New Roman" w:cs="Times New Roman"/>
                <w:color w:val="auto"/>
                <w:lang w:val="zh-TW"/>
              </w:rPr>
              <w:t>厂址北面</w:t>
            </w:r>
            <w:r>
              <w:rPr>
                <w:rFonts w:hint="eastAsia" w:ascii="Times New Roman" w:hAnsi="Times New Roman" w:cs="Times New Roman"/>
                <w:color w:val="auto"/>
                <w:lang w:val="zh-TW"/>
              </w:rPr>
              <w:t>隔王家畈路</w:t>
            </w:r>
            <w:r>
              <w:rPr>
                <w:rFonts w:ascii="Times New Roman" w:hAnsi="Times New Roman" w:cs="Times New Roman"/>
                <w:color w:val="auto"/>
                <w:lang w:val="zh-TW"/>
              </w:rPr>
              <w:t>为</w:t>
            </w:r>
            <w:r>
              <w:rPr>
                <w:rFonts w:hint="eastAsia" w:ascii="Times New Roman" w:hAnsi="Times New Roman" w:cs="Times New Roman"/>
                <w:color w:val="auto"/>
                <w:lang w:val="zh-TW"/>
              </w:rPr>
              <w:t>居民小区</w:t>
            </w:r>
            <w:r>
              <w:rPr>
                <w:rFonts w:ascii="Times New Roman" w:hAnsi="Times New Roman" w:cs="Times New Roman"/>
                <w:color w:val="auto"/>
              </w:rPr>
              <w:t>，</w:t>
            </w:r>
            <w:r>
              <w:rPr>
                <w:rFonts w:hint="eastAsia" w:ascii="Times New Roman" w:hAnsi="Times New Roman" w:cs="Times New Roman"/>
                <w:color w:val="auto"/>
              </w:rPr>
              <w:t>东北面有散户居民点，东面有富兴景城小区、</w:t>
            </w:r>
            <w:r>
              <w:rPr>
                <w:rFonts w:hint="eastAsia" w:ascii="Times New Roman" w:hAnsi="Times New Roman" w:cs="Times New Roman"/>
                <w:color w:val="auto"/>
                <w:lang w:val="zh-TW"/>
              </w:rPr>
              <w:t>湖南九鼎科技九鼎职院</w:t>
            </w:r>
            <w:r>
              <w:rPr>
                <w:rFonts w:hint="eastAsia" w:ascii="Times New Roman" w:hAnsi="Times New Roman" w:cs="Times New Roman"/>
                <w:color w:val="auto"/>
              </w:rPr>
              <w:t>，东南面为滨水天悦小区，</w:t>
            </w:r>
            <w:r>
              <w:rPr>
                <w:rFonts w:hint="eastAsia" w:ascii="Times New Roman" w:hAnsi="Times New Roman" w:cs="Times New Roman"/>
                <w:color w:val="auto"/>
                <w:lang w:val="zh-TW"/>
              </w:rPr>
              <w:t>南面为</w:t>
            </w:r>
            <w:r>
              <w:rPr>
                <w:rFonts w:hint="eastAsia" w:ascii="Times New Roman" w:hAnsi="Times New Roman" w:cs="Times New Roman"/>
                <w:color w:val="auto"/>
              </w:rPr>
              <w:t>富兴华城小区距离约25米。</w:t>
            </w:r>
            <w:r>
              <w:rPr>
                <w:rFonts w:ascii="Times New Roman" w:hAnsi="Times New Roman" w:cs="Times New Roman"/>
                <w:color w:val="auto"/>
                <w:lang w:val="zh-TW"/>
              </w:rPr>
              <w:t>西面为大桥村居民</w:t>
            </w:r>
            <w:r>
              <w:rPr>
                <w:rFonts w:hint="eastAsia" w:ascii="Times New Roman" w:hAnsi="Times New Roman" w:cs="Times New Roman"/>
                <w:color w:val="auto"/>
                <w:lang w:val="zh-TW"/>
              </w:rPr>
              <w:t>点和大桥河，与项目隔旭园路，分布较为分散，最近居民点距离项目约</w:t>
            </w:r>
            <w:r>
              <w:rPr>
                <w:rFonts w:hint="eastAsia" w:ascii="Times New Roman" w:hAnsi="Times New Roman" w:cs="Times New Roman"/>
                <w:color w:val="auto"/>
              </w:rPr>
              <w:t>25</w:t>
            </w:r>
            <w:r>
              <w:rPr>
                <w:rFonts w:hint="eastAsia" w:ascii="Times New Roman" w:hAnsi="Times New Roman" w:cs="Times New Roman"/>
                <w:color w:val="auto"/>
                <w:lang w:val="zh-TW"/>
              </w:rPr>
              <w:t>米。</w:t>
            </w:r>
          </w:p>
          <w:p>
            <w:pPr>
              <w:ind w:firstLine="480" w:firstLineChars="200"/>
              <w:rPr>
                <w:color w:val="auto"/>
              </w:rPr>
            </w:pPr>
            <w:r>
              <w:rPr>
                <w:color w:val="auto"/>
              </w:rPr>
              <w:t>环境保护目标详见下表：</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w:t>
            </w:r>
            <w:r>
              <w:rPr>
                <w:rFonts w:hint="eastAsia" w:ascii="Times New Roman" w:hAnsi="Times New Roman" w:cs="Times New Roman"/>
                <w:b/>
                <w:bCs/>
                <w:color w:val="auto"/>
              </w:rPr>
              <w:t xml:space="preserve">3-5  </w:t>
            </w:r>
            <w:r>
              <w:rPr>
                <w:rFonts w:ascii="Times New Roman" w:hAnsi="Times New Roman" w:cs="Times New Roman"/>
                <w:b/>
                <w:bCs/>
                <w:color w:val="auto"/>
              </w:rPr>
              <w:t>环境保护目标一览表</w:t>
            </w:r>
          </w:p>
          <w:tbl>
            <w:tblPr>
              <w:tblStyle w:val="1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4" w:type="dxa"/>
                <w:bottom w:w="0" w:type="dxa"/>
                <w:right w:w="14" w:type="dxa"/>
              </w:tblCellMar>
            </w:tblPr>
            <w:tblGrid>
              <w:gridCol w:w="450"/>
              <w:gridCol w:w="1434"/>
              <w:gridCol w:w="757"/>
              <w:gridCol w:w="750"/>
              <w:gridCol w:w="1819"/>
              <w:gridCol w:w="1561"/>
              <w:gridCol w:w="650"/>
              <w:gridCol w:w="165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16" w:hRule="atLeast"/>
                <w:jc w:val="center"/>
              </w:trPr>
              <w:tc>
                <w:tcPr>
                  <w:tcW w:w="248" w:type="pct"/>
                  <w:vMerge w:val="restart"/>
                  <w:tcBorders>
                    <w:tl2br w:val="nil"/>
                    <w:tr2bl w:val="nil"/>
                  </w:tcBorders>
                  <w:vAlign w:val="center"/>
                </w:tcPr>
                <w:p>
                  <w:pPr>
                    <w:pStyle w:val="30"/>
                    <w:snapToGrid w:val="0"/>
                    <w:spacing w:line="240" w:lineRule="auto"/>
                    <w:rPr>
                      <w:rFonts w:ascii="Times New Roman" w:hAnsi="Times New Roman" w:cs="Times New Roman"/>
                      <w:b/>
                      <w:bCs/>
                      <w:color w:val="auto"/>
                      <w:sz w:val="21"/>
                      <w:szCs w:val="21"/>
                    </w:rPr>
                  </w:pPr>
                  <w:r>
                    <w:rPr>
                      <w:rFonts w:ascii="Times New Roman" w:hAnsi="Times New Roman" w:cs="Times New Roman"/>
                      <w:b/>
                      <w:bCs/>
                      <w:color w:val="auto"/>
                      <w:sz w:val="21"/>
                      <w:szCs w:val="21"/>
                    </w:rPr>
                    <w:t>项目</w:t>
                  </w:r>
                </w:p>
              </w:tc>
              <w:tc>
                <w:tcPr>
                  <w:tcW w:w="790" w:type="pct"/>
                  <w:vMerge w:val="restart"/>
                  <w:tcBorders>
                    <w:tl2br w:val="nil"/>
                    <w:tr2bl w:val="nil"/>
                  </w:tcBorders>
                  <w:vAlign w:val="center"/>
                </w:tcPr>
                <w:p>
                  <w:pPr>
                    <w:pStyle w:val="30"/>
                    <w:snapToGrid w:val="0"/>
                    <w:spacing w:line="240" w:lineRule="auto"/>
                    <w:rPr>
                      <w:rFonts w:ascii="Times New Roman" w:hAnsi="Times New Roman" w:cs="Times New Roman"/>
                      <w:b/>
                      <w:bCs/>
                      <w:color w:val="auto"/>
                      <w:sz w:val="21"/>
                      <w:szCs w:val="21"/>
                    </w:rPr>
                  </w:pPr>
                  <w:r>
                    <w:rPr>
                      <w:rFonts w:ascii="Times New Roman" w:hAnsi="Times New Roman" w:cs="Times New Roman"/>
                      <w:b/>
                      <w:bCs/>
                      <w:color w:val="auto"/>
                      <w:sz w:val="21"/>
                      <w:szCs w:val="21"/>
                    </w:rPr>
                    <w:t>目标名称</w:t>
                  </w:r>
                </w:p>
              </w:tc>
              <w:tc>
                <w:tcPr>
                  <w:tcW w:w="830" w:type="pct"/>
                  <w:gridSpan w:val="2"/>
                  <w:tcBorders>
                    <w:tl2br w:val="nil"/>
                    <w:tr2bl w:val="nil"/>
                  </w:tcBorders>
                  <w:vAlign w:val="center"/>
                </w:tcPr>
                <w:p>
                  <w:pPr>
                    <w:pStyle w:val="30"/>
                    <w:snapToGrid w:val="0"/>
                    <w:spacing w:line="240" w:lineRule="auto"/>
                    <w:rPr>
                      <w:rFonts w:ascii="Times New Roman" w:hAnsi="Times New Roman" w:cs="Times New Roman"/>
                      <w:b/>
                      <w:bCs/>
                      <w:color w:val="auto"/>
                      <w:sz w:val="21"/>
                      <w:szCs w:val="21"/>
                    </w:rPr>
                  </w:pPr>
                  <w:r>
                    <w:rPr>
                      <w:rFonts w:ascii="Times New Roman" w:hAnsi="Times New Roman" w:cs="Times New Roman"/>
                      <w:b/>
                      <w:bCs/>
                      <w:color w:val="auto"/>
                      <w:sz w:val="21"/>
                      <w:szCs w:val="21"/>
                    </w:rPr>
                    <w:t>坐标/m</w:t>
                  </w:r>
                </w:p>
              </w:tc>
              <w:tc>
                <w:tcPr>
                  <w:tcW w:w="1002" w:type="pct"/>
                  <w:vMerge w:val="restart"/>
                  <w:tcBorders>
                    <w:tl2br w:val="nil"/>
                    <w:tr2bl w:val="nil"/>
                  </w:tcBorders>
                  <w:vAlign w:val="center"/>
                </w:tcPr>
                <w:p>
                  <w:pPr>
                    <w:pStyle w:val="30"/>
                    <w:snapToGrid w:val="0"/>
                    <w:spacing w:line="240" w:lineRule="auto"/>
                    <w:rPr>
                      <w:rFonts w:ascii="Times New Roman" w:hAnsi="Times New Roman" w:cs="Times New Roman"/>
                      <w:b/>
                      <w:bCs/>
                      <w:color w:val="auto"/>
                      <w:sz w:val="21"/>
                      <w:szCs w:val="21"/>
                    </w:rPr>
                  </w:pPr>
                  <w:r>
                    <w:rPr>
                      <w:rFonts w:ascii="Times New Roman" w:hAnsi="Times New Roman" w:cs="Times New Roman"/>
                      <w:b/>
                      <w:bCs/>
                      <w:color w:val="auto"/>
                      <w:sz w:val="21"/>
                      <w:szCs w:val="21"/>
                    </w:rPr>
                    <w:t>规  模</w:t>
                  </w:r>
                </w:p>
              </w:tc>
              <w:tc>
                <w:tcPr>
                  <w:tcW w:w="860" w:type="pct"/>
                  <w:vMerge w:val="restart"/>
                  <w:tcBorders>
                    <w:tl2br w:val="nil"/>
                    <w:tr2bl w:val="nil"/>
                  </w:tcBorders>
                  <w:vAlign w:val="center"/>
                </w:tcPr>
                <w:p>
                  <w:pPr>
                    <w:pStyle w:val="30"/>
                    <w:snapToGrid w:val="0"/>
                    <w:spacing w:line="240" w:lineRule="auto"/>
                    <w:rPr>
                      <w:rFonts w:ascii="Times New Roman" w:hAnsi="Times New Roman" w:cs="Times New Roman"/>
                      <w:b/>
                      <w:bCs/>
                      <w:color w:val="auto"/>
                      <w:sz w:val="21"/>
                      <w:szCs w:val="21"/>
                    </w:rPr>
                  </w:pPr>
                  <w:r>
                    <w:rPr>
                      <w:rFonts w:ascii="Times New Roman" w:hAnsi="Times New Roman" w:cs="Times New Roman"/>
                      <w:b/>
                      <w:bCs/>
                      <w:color w:val="auto"/>
                      <w:sz w:val="21"/>
                      <w:szCs w:val="21"/>
                    </w:rPr>
                    <w:t>相对厂址方位和距离（m）</w:t>
                  </w:r>
                </w:p>
              </w:tc>
              <w:tc>
                <w:tcPr>
                  <w:tcW w:w="358" w:type="pct"/>
                  <w:vMerge w:val="restart"/>
                  <w:tcBorders>
                    <w:tl2br w:val="nil"/>
                    <w:tr2bl w:val="nil"/>
                  </w:tcBorders>
                  <w:vAlign w:val="center"/>
                </w:tcPr>
                <w:p>
                  <w:pPr>
                    <w:pStyle w:val="30"/>
                    <w:snapToGrid w:val="0"/>
                    <w:spacing w:line="240" w:lineRule="auto"/>
                    <w:rPr>
                      <w:rFonts w:ascii="Times New Roman" w:hAnsi="Times New Roman" w:cs="Times New Roman"/>
                      <w:b/>
                      <w:bCs/>
                      <w:color w:val="auto"/>
                      <w:sz w:val="21"/>
                      <w:szCs w:val="21"/>
                    </w:rPr>
                  </w:pPr>
                  <w:r>
                    <w:rPr>
                      <w:rFonts w:ascii="Times New Roman" w:hAnsi="Times New Roman" w:cs="Times New Roman"/>
                      <w:b/>
                      <w:bCs/>
                      <w:color w:val="auto"/>
                      <w:sz w:val="21"/>
                      <w:szCs w:val="21"/>
                    </w:rPr>
                    <w:t>功能</w:t>
                  </w:r>
                </w:p>
              </w:tc>
              <w:tc>
                <w:tcPr>
                  <w:tcW w:w="909" w:type="pct"/>
                  <w:vMerge w:val="restart"/>
                  <w:tcBorders>
                    <w:tl2br w:val="nil"/>
                    <w:tr2bl w:val="nil"/>
                  </w:tcBorders>
                  <w:vAlign w:val="center"/>
                </w:tcPr>
                <w:p>
                  <w:pPr>
                    <w:pStyle w:val="30"/>
                    <w:snapToGrid w:val="0"/>
                    <w:spacing w:line="240" w:lineRule="auto"/>
                    <w:rPr>
                      <w:rFonts w:ascii="Times New Roman" w:hAnsi="Times New Roman" w:cs="Times New Roman"/>
                      <w:b/>
                      <w:bCs/>
                      <w:color w:val="auto"/>
                      <w:sz w:val="21"/>
                      <w:szCs w:val="21"/>
                    </w:rPr>
                  </w:pPr>
                  <w:r>
                    <w:rPr>
                      <w:rFonts w:ascii="Times New Roman" w:hAnsi="Times New Roman" w:cs="Times New Roman"/>
                      <w:b/>
                      <w:bCs/>
                      <w:color w:val="auto"/>
                      <w:sz w:val="21"/>
                      <w:szCs w:val="21"/>
                    </w:rPr>
                    <w:t>环境功能及</w:t>
                  </w:r>
                </w:p>
                <w:p>
                  <w:pPr>
                    <w:pStyle w:val="30"/>
                    <w:snapToGrid w:val="0"/>
                    <w:spacing w:line="240" w:lineRule="auto"/>
                    <w:rPr>
                      <w:rFonts w:ascii="Times New Roman" w:hAnsi="Times New Roman" w:cs="Times New Roman"/>
                      <w:b/>
                      <w:bCs/>
                      <w:color w:val="auto"/>
                      <w:sz w:val="21"/>
                      <w:szCs w:val="21"/>
                    </w:rPr>
                  </w:pPr>
                  <w:r>
                    <w:rPr>
                      <w:rFonts w:ascii="Times New Roman" w:hAnsi="Times New Roman" w:cs="Times New Roman"/>
                      <w:b/>
                      <w:bCs/>
                      <w:color w:val="auto"/>
                      <w:sz w:val="21"/>
                      <w:szCs w:val="21"/>
                    </w:rPr>
                    <w:t>保护级别</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90" w:hRule="atLeast"/>
                <w:jc w:val="center"/>
              </w:trPr>
              <w:tc>
                <w:tcPr>
                  <w:tcW w:w="248" w:type="pct"/>
                  <w:vMerge w:val="continue"/>
                  <w:tcBorders>
                    <w:bottom w:val="single" w:color="auto" w:sz="12" w:space="0"/>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790" w:type="pct"/>
                  <w:vMerge w:val="continue"/>
                  <w:tcBorders>
                    <w:bottom w:val="single" w:color="auto" w:sz="12" w:space="0"/>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417" w:type="pct"/>
                  <w:tcBorders>
                    <w:bottom w:val="single" w:color="auto" w:sz="12" w:space="0"/>
                    <w:tl2br w:val="nil"/>
                    <w:tr2bl w:val="nil"/>
                  </w:tcBorders>
                  <w:vAlign w:val="center"/>
                </w:tcPr>
                <w:p>
                  <w:pPr>
                    <w:pStyle w:val="30"/>
                    <w:snapToGrid w:val="0"/>
                    <w:spacing w:line="240" w:lineRule="auto"/>
                    <w:rPr>
                      <w:rFonts w:ascii="Times New Roman" w:hAnsi="Times New Roman" w:cs="Times New Roman"/>
                      <w:b/>
                      <w:bCs/>
                      <w:color w:val="auto"/>
                      <w:sz w:val="21"/>
                      <w:szCs w:val="21"/>
                    </w:rPr>
                  </w:pPr>
                  <w:r>
                    <w:rPr>
                      <w:rFonts w:ascii="Times New Roman" w:hAnsi="Times New Roman" w:cs="Times New Roman"/>
                      <w:b/>
                      <w:bCs/>
                      <w:color w:val="auto"/>
                      <w:sz w:val="21"/>
                      <w:szCs w:val="21"/>
                    </w:rPr>
                    <w:t>X</w:t>
                  </w:r>
                </w:p>
              </w:tc>
              <w:tc>
                <w:tcPr>
                  <w:tcW w:w="413" w:type="pct"/>
                  <w:tcBorders>
                    <w:bottom w:val="single" w:color="auto" w:sz="12" w:space="0"/>
                    <w:tl2br w:val="nil"/>
                    <w:tr2bl w:val="nil"/>
                  </w:tcBorders>
                  <w:vAlign w:val="center"/>
                </w:tcPr>
                <w:p>
                  <w:pPr>
                    <w:pStyle w:val="30"/>
                    <w:snapToGrid w:val="0"/>
                    <w:spacing w:line="240" w:lineRule="auto"/>
                    <w:rPr>
                      <w:rFonts w:ascii="Times New Roman" w:hAnsi="Times New Roman" w:cs="Times New Roman"/>
                      <w:b/>
                      <w:bCs/>
                      <w:color w:val="auto"/>
                      <w:sz w:val="21"/>
                      <w:szCs w:val="21"/>
                    </w:rPr>
                  </w:pPr>
                  <w:r>
                    <w:rPr>
                      <w:rFonts w:ascii="Times New Roman" w:hAnsi="Times New Roman" w:cs="Times New Roman"/>
                      <w:b/>
                      <w:bCs/>
                      <w:color w:val="auto"/>
                      <w:sz w:val="21"/>
                      <w:szCs w:val="21"/>
                    </w:rPr>
                    <w:t>Y</w:t>
                  </w:r>
                </w:p>
              </w:tc>
              <w:tc>
                <w:tcPr>
                  <w:tcW w:w="1002" w:type="pct"/>
                  <w:vMerge w:val="continue"/>
                  <w:tcBorders>
                    <w:bottom w:val="single" w:color="auto" w:sz="12" w:space="0"/>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860" w:type="pct"/>
                  <w:vMerge w:val="continue"/>
                  <w:tcBorders>
                    <w:bottom w:val="single" w:color="auto" w:sz="12" w:space="0"/>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358" w:type="pct"/>
                  <w:vMerge w:val="continue"/>
                  <w:tcBorders>
                    <w:bottom w:val="single" w:color="auto" w:sz="12" w:space="0"/>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909" w:type="pct"/>
                  <w:vMerge w:val="continue"/>
                  <w:tcBorders>
                    <w:bottom w:val="single" w:color="auto" w:sz="12" w:space="0"/>
                    <w:tl2br w:val="nil"/>
                    <w:tr2bl w:val="nil"/>
                  </w:tcBorders>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restart"/>
                  <w:tcBorders>
                    <w:top w:val="single" w:color="auto" w:sz="12" w:space="0"/>
                  </w:tcBorders>
                  <w:vAlign w:val="center"/>
                </w:tcPr>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环境</w:t>
                  </w:r>
                </w:p>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空气</w:t>
                  </w:r>
                </w:p>
              </w:tc>
              <w:tc>
                <w:tcPr>
                  <w:tcW w:w="790"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富兴景城小区</w:t>
                  </w:r>
                </w:p>
              </w:tc>
              <w:tc>
                <w:tcPr>
                  <w:tcW w:w="417" w:type="pct"/>
                  <w:tcBorders>
                    <w:top w:val="single" w:color="auto" w:sz="12" w:space="0"/>
                  </w:tcBorders>
                  <w:vAlign w:val="center"/>
                </w:tcPr>
                <w:p>
                  <w:pPr>
                    <w:adjustRightInd w:val="0"/>
                    <w:snapToGrid w:val="0"/>
                    <w:spacing w:line="240" w:lineRule="auto"/>
                    <w:jc w:val="center"/>
                    <w:rPr>
                      <w:rFonts w:ascii="Times New Roman" w:hAnsi="Times New Roman" w:cs="Times New Roman"/>
                      <w:snapToGrid w:val="0"/>
                      <w:color w:val="auto"/>
                      <w:sz w:val="21"/>
                      <w:szCs w:val="21"/>
                    </w:rPr>
                  </w:pPr>
                  <w:r>
                    <w:rPr>
                      <w:rFonts w:hint="eastAsia" w:ascii="Times New Roman" w:hAnsi="Times New Roman" w:cs="Times New Roman"/>
                      <w:snapToGrid w:val="0"/>
                      <w:color w:val="auto"/>
                      <w:sz w:val="21"/>
                      <w:szCs w:val="21"/>
                    </w:rPr>
                    <w:t>280</w:t>
                  </w:r>
                </w:p>
              </w:tc>
              <w:tc>
                <w:tcPr>
                  <w:tcW w:w="413" w:type="pct"/>
                  <w:tcBorders>
                    <w:top w:val="single" w:color="auto" w:sz="12" w:space="0"/>
                  </w:tcBorders>
                  <w:vAlign w:val="center"/>
                </w:tcPr>
                <w:p>
                  <w:pPr>
                    <w:adjustRightInd w:val="0"/>
                    <w:snapToGrid w:val="0"/>
                    <w:spacing w:line="240" w:lineRule="auto"/>
                    <w:jc w:val="center"/>
                    <w:rPr>
                      <w:rFonts w:ascii="Times New Roman" w:hAnsi="Times New Roman" w:cs="Times New Roman"/>
                      <w:snapToGrid w:val="0"/>
                      <w:color w:val="auto"/>
                      <w:sz w:val="21"/>
                      <w:szCs w:val="21"/>
                    </w:rPr>
                  </w:pPr>
                  <w:r>
                    <w:rPr>
                      <w:rFonts w:ascii="Times New Roman" w:hAnsi="Times New Roman" w:cs="Times New Roman"/>
                      <w:color w:val="auto"/>
                      <w:sz w:val="21"/>
                      <w:szCs w:val="21"/>
                    </w:rPr>
                    <w:t>0</w:t>
                  </w:r>
                </w:p>
              </w:tc>
              <w:tc>
                <w:tcPr>
                  <w:tcW w:w="1002"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640</w:t>
                  </w:r>
                  <w:r>
                    <w:rPr>
                      <w:rFonts w:ascii="Times New Roman" w:hAnsi="Times New Roman" w:cs="Times New Roman"/>
                      <w:color w:val="auto"/>
                      <w:sz w:val="21"/>
                      <w:szCs w:val="21"/>
                    </w:rPr>
                    <w:t>户共</w:t>
                  </w:r>
                  <w:r>
                    <w:rPr>
                      <w:rFonts w:hint="eastAsia" w:ascii="Times New Roman" w:hAnsi="Times New Roman" w:cs="Times New Roman"/>
                      <w:color w:val="auto"/>
                      <w:sz w:val="21"/>
                      <w:szCs w:val="21"/>
                    </w:rPr>
                    <w:t>2560</w:t>
                  </w:r>
                  <w:r>
                    <w:rPr>
                      <w:rFonts w:ascii="Times New Roman" w:hAnsi="Times New Roman" w:cs="Times New Roman"/>
                      <w:color w:val="auto"/>
                      <w:sz w:val="21"/>
                      <w:szCs w:val="21"/>
                    </w:rPr>
                    <w:t>人</w:t>
                  </w:r>
                </w:p>
              </w:tc>
              <w:tc>
                <w:tcPr>
                  <w:tcW w:w="860" w:type="pct"/>
                  <w:tcBorders>
                    <w:top w:val="single" w:color="auto" w:sz="12" w:space="0"/>
                  </w:tcBorders>
                  <w:vAlign w:val="center"/>
                </w:tcPr>
                <w:p>
                  <w:pPr>
                    <w:pStyle w:val="30"/>
                    <w:snapToGrid w:val="0"/>
                    <w:spacing w:line="240" w:lineRule="auto"/>
                    <w:rPr>
                      <w:rFonts w:ascii="Times New Roman" w:hAnsi="Times New Roman" w:cs="Times New Roman"/>
                      <w:snapToGrid w:val="0"/>
                      <w:color w:val="auto"/>
                      <w:sz w:val="21"/>
                      <w:szCs w:val="21"/>
                    </w:rPr>
                  </w:pPr>
                  <w:r>
                    <w:rPr>
                      <w:rFonts w:ascii="Times New Roman" w:hAnsi="Times New Roman" w:cs="Times New Roman"/>
                      <w:color w:val="auto"/>
                      <w:kern w:val="2"/>
                      <w:sz w:val="21"/>
                      <w:szCs w:val="21"/>
                    </w:rPr>
                    <w:t>东面，约</w:t>
                  </w:r>
                  <w:r>
                    <w:rPr>
                      <w:rFonts w:hint="eastAsia" w:ascii="Times New Roman" w:hAnsi="Times New Roman" w:cs="Times New Roman"/>
                      <w:color w:val="auto"/>
                      <w:kern w:val="2"/>
                      <w:sz w:val="21"/>
                      <w:szCs w:val="21"/>
                    </w:rPr>
                    <w:t>280</w:t>
                  </w:r>
                  <w:r>
                    <w:rPr>
                      <w:rFonts w:ascii="Times New Roman" w:hAnsi="Times New Roman" w:cs="Times New Roman"/>
                      <w:color w:val="auto"/>
                      <w:kern w:val="2"/>
                      <w:sz w:val="21"/>
                      <w:szCs w:val="21"/>
                    </w:rPr>
                    <w:t>m</w:t>
                  </w:r>
                </w:p>
              </w:tc>
              <w:tc>
                <w:tcPr>
                  <w:tcW w:w="358" w:type="pct"/>
                  <w:tcBorders>
                    <w:top w:val="single" w:color="auto" w:sz="12" w:space="0"/>
                  </w:tcBorders>
                  <w:vAlign w:val="center"/>
                </w:tcPr>
                <w:p>
                  <w:pPr>
                    <w:pStyle w:val="30"/>
                    <w:snapToGrid w:val="0"/>
                    <w:spacing w:line="240" w:lineRule="auto"/>
                    <w:rPr>
                      <w:rFonts w:ascii="Times New Roman" w:hAnsi="Times New Roman" w:cs="Times New Roman"/>
                      <w:snapToGrid w:val="0"/>
                      <w:color w:val="auto"/>
                      <w:sz w:val="21"/>
                      <w:szCs w:val="21"/>
                    </w:rPr>
                  </w:pPr>
                  <w:r>
                    <w:rPr>
                      <w:rFonts w:ascii="Times New Roman" w:hAnsi="Times New Roman" w:cs="Times New Roman"/>
                      <w:snapToGrid w:val="0"/>
                      <w:color w:val="auto"/>
                      <w:sz w:val="21"/>
                      <w:szCs w:val="21"/>
                    </w:rPr>
                    <w:t>居住</w:t>
                  </w:r>
                </w:p>
              </w:tc>
              <w:tc>
                <w:tcPr>
                  <w:tcW w:w="909" w:type="pct"/>
                  <w:vMerge w:val="restart"/>
                  <w:tcBorders>
                    <w:top w:val="single" w:color="auto" w:sz="12" w:space="0"/>
                  </w:tcBorders>
                  <w:vAlign w:val="center"/>
                </w:tcPr>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《环境空气质量标准》</w:t>
                  </w:r>
                </w:p>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GB3095-2012二级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vAlign w:val="center"/>
                </w:tcPr>
                <w:p>
                  <w:pPr>
                    <w:pStyle w:val="30"/>
                    <w:snapToGrid w:val="0"/>
                    <w:spacing w:line="240" w:lineRule="auto"/>
                    <w:rPr>
                      <w:rFonts w:ascii="Times New Roman" w:hAnsi="Times New Roman" w:cs="Times New Roman"/>
                      <w:color w:val="auto"/>
                      <w:sz w:val="21"/>
                      <w:szCs w:val="21"/>
                    </w:rPr>
                  </w:pPr>
                </w:p>
              </w:tc>
              <w:tc>
                <w:tcPr>
                  <w:tcW w:w="790"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滨水天悦小区</w:t>
                  </w:r>
                </w:p>
              </w:tc>
              <w:tc>
                <w:tcPr>
                  <w:tcW w:w="417" w:type="pct"/>
                  <w:tcBorders>
                    <w:top w:val="single" w:color="auto" w:sz="12" w:space="0"/>
                  </w:tcBorders>
                  <w:vAlign w:val="center"/>
                </w:tcPr>
                <w:p>
                  <w:pPr>
                    <w:adjustRightInd w:val="0"/>
                    <w:snapToGrid w:val="0"/>
                    <w:spacing w:line="240" w:lineRule="auto"/>
                    <w:jc w:val="center"/>
                    <w:rPr>
                      <w:rFonts w:ascii="Times New Roman" w:hAnsi="Times New Roman" w:cs="Times New Roman"/>
                      <w:snapToGrid w:val="0"/>
                      <w:color w:val="auto"/>
                      <w:sz w:val="21"/>
                      <w:szCs w:val="21"/>
                    </w:rPr>
                  </w:pPr>
                  <w:r>
                    <w:rPr>
                      <w:rFonts w:hint="eastAsia" w:ascii="Times New Roman" w:hAnsi="Times New Roman" w:cs="Times New Roman"/>
                      <w:snapToGrid w:val="0"/>
                      <w:color w:val="auto"/>
                      <w:sz w:val="21"/>
                      <w:szCs w:val="21"/>
                    </w:rPr>
                    <w:t>50</w:t>
                  </w:r>
                </w:p>
              </w:tc>
              <w:tc>
                <w:tcPr>
                  <w:tcW w:w="413"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-116</w:t>
                  </w:r>
                </w:p>
              </w:tc>
              <w:tc>
                <w:tcPr>
                  <w:tcW w:w="1002"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1000户共3000人</w:t>
                  </w:r>
                </w:p>
              </w:tc>
              <w:tc>
                <w:tcPr>
                  <w:tcW w:w="860" w:type="pct"/>
                  <w:tcBorders>
                    <w:top w:val="single" w:color="auto" w:sz="12" w:space="0"/>
                  </w:tcBorders>
                  <w:vAlign w:val="center"/>
                </w:tcPr>
                <w:p>
                  <w:pPr>
                    <w:pStyle w:val="30"/>
                    <w:snapToGrid w:val="0"/>
                    <w:spacing w:line="240" w:lineRule="auto"/>
                    <w:rPr>
                      <w:rFonts w:ascii="Times New Roman" w:hAnsi="Times New Roman" w:cs="Times New Roman"/>
                      <w:color w:val="auto"/>
                      <w:kern w:val="2"/>
                      <w:sz w:val="21"/>
                      <w:szCs w:val="21"/>
                    </w:rPr>
                  </w:pPr>
                  <w:r>
                    <w:rPr>
                      <w:rFonts w:hint="eastAsia" w:ascii="Times New Roman" w:hAnsi="Times New Roman" w:cs="Times New Roman"/>
                      <w:color w:val="auto"/>
                      <w:kern w:val="2"/>
                      <w:sz w:val="21"/>
                      <w:szCs w:val="21"/>
                    </w:rPr>
                    <w:t>东南面，168m</w:t>
                  </w:r>
                </w:p>
              </w:tc>
              <w:tc>
                <w:tcPr>
                  <w:tcW w:w="358" w:type="pct"/>
                  <w:tcBorders>
                    <w:top w:val="single" w:color="auto" w:sz="12" w:space="0"/>
                  </w:tcBorders>
                  <w:vAlign w:val="center"/>
                </w:tcPr>
                <w:p>
                  <w:pPr>
                    <w:pStyle w:val="30"/>
                    <w:snapToGrid w:val="0"/>
                    <w:spacing w:line="240" w:lineRule="auto"/>
                    <w:rPr>
                      <w:rFonts w:ascii="Times New Roman" w:hAnsi="Times New Roman" w:cs="Times New Roman"/>
                      <w:snapToGrid w:val="0"/>
                      <w:color w:val="auto"/>
                      <w:sz w:val="21"/>
                      <w:szCs w:val="21"/>
                    </w:rPr>
                  </w:pPr>
                  <w:r>
                    <w:rPr>
                      <w:rFonts w:hint="eastAsia" w:ascii="Times New Roman" w:hAnsi="Times New Roman" w:cs="Times New Roman"/>
                      <w:snapToGrid w:val="0"/>
                      <w:color w:val="auto"/>
                      <w:sz w:val="21"/>
                      <w:szCs w:val="21"/>
                    </w:rPr>
                    <w:t>居住</w:t>
                  </w:r>
                </w:p>
              </w:tc>
              <w:tc>
                <w:tcPr>
                  <w:tcW w:w="909" w:type="pct"/>
                  <w:vMerge w:val="continue"/>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vAlign w:val="center"/>
                </w:tcPr>
                <w:p>
                  <w:pPr>
                    <w:pStyle w:val="30"/>
                    <w:snapToGrid w:val="0"/>
                    <w:spacing w:line="240" w:lineRule="auto"/>
                    <w:rPr>
                      <w:rFonts w:ascii="Times New Roman" w:hAnsi="Times New Roman" w:cs="Times New Roman"/>
                      <w:color w:val="auto"/>
                      <w:sz w:val="21"/>
                      <w:szCs w:val="21"/>
                    </w:rPr>
                  </w:pPr>
                </w:p>
              </w:tc>
              <w:tc>
                <w:tcPr>
                  <w:tcW w:w="790"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rPr>
                    <w:t>富兴华城小区</w:t>
                  </w:r>
                </w:p>
              </w:tc>
              <w:tc>
                <w:tcPr>
                  <w:tcW w:w="417" w:type="pct"/>
                  <w:tcBorders>
                    <w:top w:val="single" w:color="auto" w:sz="12" w:space="0"/>
                  </w:tcBorders>
                  <w:vAlign w:val="center"/>
                </w:tcPr>
                <w:p>
                  <w:pPr>
                    <w:adjustRightInd w:val="0"/>
                    <w:snapToGrid w:val="0"/>
                    <w:spacing w:line="240" w:lineRule="auto"/>
                    <w:jc w:val="center"/>
                    <w:rPr>
                      <w:rFonts w:ascii="Times New Roman" w:hAnsi="Times New Roman" w:cs="Times New Roman"/>
                      <w:snapToGrid w:val="0"/>
                      <w:color w:val="auto"/>
                      <w:sz w:val="21"/>
                      <w:szCs w:val="21"/>
                      <w:u w:val="single"/>
                    </w:rPr>
                  </w:pPr>
                  <w:r>
                    <w:rPr>
                      <w:rFonts w:hint="eastAsia" w:ascii="Times New Roman" w:hAnsi="Times New Roman" w:cs="Times New Roman"/>
                      <w:color w:val="auto"/>
                      <w:sz w:val="21"/>
                      <w:szCs w:val="21"/>
                    </w:rPr>
                    <w:t>0</w:t>
                  </w:r>
                </w:p>
              </w:tc>
              <w:tc>
                <w:tcPr>
                  <w:tcW w:w="413"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rPr>
                    <w:t>-25</w:t>
                  </w:r>
                </w:p>
              </w:tc>
              <w:tc>
                <w:tcPr>
                  <w:tcW w:w="1002"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rPr>
                    <w:t>250</w:t>
                  </w:r>
                  <w:r>
                    <w:rPr>
                      <w:rFonts w:ascii="Times New Roman" w:hAnsi="Times New Roman" w:cs="Times New Roman"/>
                      <w:color w:val="auto"/>
                      <w:sz w:val="21"/>
                      <w:szCs w:val="21"/>
                    </w:rPr>
                    <w:t>户共</w:t>
                  </w:r>
                  <w:r>
                    <w:rPr>
                      <w:rFonts w:hint="eastAsia" w:ascii="Times New Roman" w:hAnsi="Times New Roman" w:cs="Times New Roman"/>
                      <w:color w:val="auto"/>
                      <w:sz w:val="21"/>
                      <w:szCs w:val="21"/>
                    </w:rPr>
                    <w:t>1000</w:t>
                  </w:r>
                  <w:r>
                    <w:rPr>
                      <w:rFonts w:ascii="Times New Roman" w:hAnsi="Times New Roman" w:cs="Times New Roman"/>
                      <w:color w:val="auto"/>
                      <w:sz w:val="21"/>
                      <w:szCs w:val="21"/>
                    </w:rPr>
                    <w:t>人</w:t>
                  </w:r>
                </w:p>
              </w:tc>
              <w:tc>
                <w:tcPr>
                  <w:tcW w:w="860" w:type="pct"/>
                  <w:tcBorders>
                    <w:top w:val="single" w:color="auto" w:sz="12" w:space="0"/>
                  </w:tcBorders>
                  <w:vAlign w:val="center"/>
                </w:tcPr>
                <w:p>
                  <w:pPr>
                    <w:pStyle w:val="30"/>
                    <w:snapToGrid w:val="0"/>
                    <w:spacing w:line="240" w:lineRule="auto"/>
                    <w:rPr>
                      <w:rFonts w:ascii="Times New Roman" w:hAnsi="Times New Roman" w:cs="Times New Roman"/>
                      <w:color w:val="auto"/>
                      <w:kern w:val="2"/>
                      <w:sz w:val="21"/>
                      <w:szCs w:val="21"/>
                      <w:u w:val="single"/>
                    </w:rPr>
                  </w:pPr>
                  <w:r>
                    <w:rPr>
                      <w:rFonts w:hint="eastAsia" w:ascii="Times New Roman" w:hAnsi="Times New Roman" w:cs="Times New Roman"/>
                      <w:snapToGrid w:val="0"/>
                      <w:color w:val="auto"/>
                      <w:sz w:val="21"/>
                      <w:szCs w:val="21"/>
                    </w:rPr>
                    <w:t>南</w:t>
                  </w:r>
                  <w:r>
                    <w:rPr>
                      <w:rFonts w:ascii="Times New Roman" w:hAnsi="Times New Roman" w:cs="Times New Roman"/>
                      <w:snapToGrid w:val="0"/>
                      <w:color w:val="auto"/>
                      <w:sz w:val="21"/>
                      <w:szCs w:val="21"/>
                    </w:rPr>
                    <w:t>面，约</w:t>
                  </w:r>
                  <w:r>
                    <w:rPr>
                      <w:rFonts w:hint="eastAsia" w:ascii="Times New Roman" w:hAnsi="Times New Roman" w:cs="Times New Roman"/>
                      <w:snapToGrid w:val="0"/>
                      <w:color w:val="auto"/>
                      <w:sz w:val="21"/>
                      <w:szCs w:val="21"/>
                    </w:rPr>
                    <w:t>25</w:t>
                  </w:r>
                  <w:r>
                    <w:rPr>
                      <w:rFonts w:ascii="Times New Roman" w:hAnsi="Times New Roman" w:cs="Times New Roman"/>
                      <w:snapToGrid w:val="0"/>
                      <w:color w:val="auto"/>
                      <w:sz w:val="21"/>
                      <w:szCs w:val="21"/>
                    </w:rPr>
                    <w:t>m</w:t>
                  </w:r>
                </w:p>
              </w:tc>
              <w:tc>
                <w:tcPr>
                  <w:tcW w:w="358" w:type="pct"/>
                  <w:tcBorders>
                    <w:top w:val="single" w:color="auto" w:sz="12" w:space="0"/>
                  </w:tcBorders>
                  <w:vAlign w:val="center"/>
                </w:tcPr>
                <w:p>
                  <w:pPr>
                    <w:pStyle w:val="30"/>
                    <w:snapToGrid w:val="0"/>
                    <w:spacing w:line="240" w:lineRule="auto"/>
                    <w:rPr>
                      <w:rFonts w:ascii="Times New Roman" w:hAnsi="Times New Roman" w:cs="Times New Roman"/>
                      <w:snapToGrid w:val="0"/>
                      <w:color w:val="auto"/>
                      <w:sz w:val="21"/>
                      <w:szCs w:val="21"/>
                      <w:u w:val="single"/>
                    </w:rPr>
                  </w:pPr>
                  <w:r>
                    <w:rPr>
                      <w:rFonts w:ascii="Times New Roman" w:hAnsi="Times New Roman" w:cs="Times New Roman"/>
                      <w:snapToGrid w:val="0"/>
                      <w:color w:val="auto"/>
                      <w:sz w:val="21"/>
                      <w:szCs w:val="21"/>
                    </w:rPr>
                    <w:t>居住</w:t>
                  </w:r>
                </w:p>
              </w:tc>
              <w:tc>
                <w:tcPr>
                  <w:tcW w:w="909" w:type="pct"/>
                  <w:vMerge w:val="continue"/>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vAlign w:val="center"/>
                </w:tcPr>
                <w:p>
                  <w:pPr>
                    <w:pStyle w:val="30"/>
                    <w:snapToGrid w:val="0"/>
                    <w:spacing w:line="240" w:lineRule="auto"/>
                    <w:rPr>
                      <w:rFonts w:ascii="Times New Roman" w:hAnsi="Times New Roman" w:cs="Times New Roman"/>
                      <w:color w:val="auto"/>
                      <w:sz w:val="21"/>
                      <w:szCs w:val="21"/>
                    </w:rPr>
                  </w:pPr>
                </w:p>
              </w:tc>
              <w:tc>
                <w:tcPr>
                  <w:tcW w:w="790"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居民小区</w:t>
                  </w:r>
                </w:p>
              </w:tc>
              <w:tc>
                <w:tcPr>
                  <w:tcW w:w="417" w:type="pct"/>
                  <w:tcBorders>
                    <w:top w:val="single" w:color="auto" w:sz="12" w:space="0"/>
                  </w:tcBorders>
                  <w:vAlign w:val="center"/>
                </w:tcPr>
                <w:p>
                  <w:pPr>
                    <w:adjustRightInd w:val="0"/>
                    <w:snapToGrid w:val="0"/>
                    <w:spacing w:line="240" w:lineRule="auto"/>
                    <w:jc w:val="center"/>
                    <w:rPr>
                      <w:rFonts w:ascii="Times New Roman" w:hAnsi="Times New Roman" w:cs="Times New Roman"/>
                      <w:snapToGrid w:val="0"/>
                      <w:color w:val="auto"/>
                      <w:sz w:val="21"/>
                      <w:szCs w:val="21"/>
                    </w:rPr>
                  </w:pPr>
                  <w:r>
                    <w:rPr>
                      <w:rFonts w:hint="eastAsia" w:ascii="Times New Roman" w:hAnsi="Times New Roman" w:cs="Times New Roman"/>
                      <w:color w:val="auto"/>
                      <w:sz w:val="21"/>
                      <w:szCs w:val="21"/>
                    </w:rPr>
                    <w:t>0</w:t>
                  </w:r>
                </w:p>
              </w:tc>
              <w:tc>
                <w:tcPr>
                  <w:tcW w:w="413"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65</w:t>
                  </w:r>
                </w:p>
              </w:tc>
              <w:tc>
                <w:tcPr>
                  <w:tcW w:w="1002"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500</w:t>
                  </w:r>
                  <w:r>
                    <w:rPr>
                      <w:rFonts w:ascii="Times New Roman" w:hAnsi="Times New Roman" w:cs="Times New Roman"/>
                      <w:color w:val="auto"/>
                      <w:sz w:val="21"/>
                      <w:szCs w:val="21"/>
                    </w:rPr>
                    <w:t>户共</w:t>
                  </w:r>
                  <w:r>
                    <w:rPr>
                      <w:rFonts w:hint="eastAsia" w:ascii="Times New Roman" w:hAnsi="Times New Roman" w:cs="Times New Roman"/>
                      <w:color w:val="auto"/>
                      <w:sz w:val="21"/>
                      <w:szCs w:val="21"/>
                    </w:rPr>
                    <w:t>200</w:t>
                  </w:r>
                  <w:r>
                    <w:rPr>
                      <w:rFonts w:ascii="Times New Roman" w:hAnsi="Times New Roman" w:cs="Times New Roman"/>
                      <w:color w:val="auto"/>
                      <w:sz w:val="21"/>
                      <w:szCs w:val="21"/>
                    </w:rPr>
                    <w:t>人</w:t>
                  </w:r>
                </w:p>
              </w:tc>
              <w:tc>
                <w:tcPr>
                  <w:tcW w:w="860" w:type="pct"/>
                  <w:tcBorders>
                    <w:top w:val="single" w:color="auto" w:sz="12" w:space="0"/>
                  </w:tcBorders>
                  <w:vAlign w:val="center"/>
                </w:tcPr>
                <w:p>
                  <w:pPr>
                    <w:pStyle w:val="30"/>
                    <w:snapToGrid w:val="0"/>
                    <w:spacing w:line="240" w:lineRule="auto"/>
                    <w:rPr>
                      <w:rFonts w:ascii="Times New Roman" w:hAnsi="Times New Roman" w:cs="Times New Roman"/>
                      <w:color w:val="auto"/>
                      <w:kern w:val="2"/>
                      <w:sz w:val="21"/>
                      <w:szCs w:val="21"/>
                    </w:rPr>
                  </w:pPr>
                  <w:r>
                    <w:rPr>
                      <w:rFonts w:ascii="Times New Roman" w:hAnsi="Times New Roman" w:cs="Times New Roman"/>
                      <w:snapToGrid w:val="0"/>
                      <w:color w:val="auto"/>
                      <w:sz w:val="21"/>
                      <w:szCs w:val="21"/>
                    </w:rPr>
                    <w:t>北面，约</w:t>
                  </w:r>
                  <w:r>
                    <w:rPr>
                      <w:rFonts w:hint="eastAsia" w:ascii="Times New Roman" w:hAnsi="Times New Roman" w:cs="Times New Roman"/>
                      <w:snapToGrid w:val="0"/>
                      <w:color w:val="auto"/>
                      <w:sz w:val="21"/>
                      <w:szCs w:val="21"/>
                    </w:rPr>
                    <w:t>65</w:t>
                  </w:r>
                  <w:r>
                    <w:rPr>
                      <w:rFonts w:ascii="Times New Roman" w:hAnsi="Times New Roman" w:cs="Times New Roman"/>
                      <w:snapToGrid w:val="0"/>
                      <w:color w:val="auto"/>
                      <w:sz w:val="21"/>
                      <w:szCs w:val="21"/>
                    </w:rPr>
                    <w:t>m</w:t>
                  </w:r>
                </w:p>
              </w:tc>
              <w:tc>
                <w:tcPr>
                  <w:tcW w:w="358" w:type="pct"/>
                  <w:tcBorders>
                    <w:top w:val="single" w:color="auto" w:sz="12" w:space="0"/>
                  </w:tcBorders>
                  <w:vAlign w:val="center"/>
                </w:tcPr>
                <w:p>
                  <w:pPr>
                    <w:pStyle w:val="30"/>
                    <w:snapToGrid w:val="0"/>
                    <w:spacing w:line="240" w:lineRule="auto"/>
                    <w:rPr>
                      <w:rFonts w:ascii="Times New Roman" w:hAnsi="Times New Roman" w:cs="Times New Roman"/>
                      <w:snapToGrid w:val="0"/>
                      <w:color w:val="auto"/>
                      <w:sz w:val="21"/>
                      <w:szCs w:val="21"/>
                    </w:rPr>
                  </w:pPr>
                  <w:r>
                    <w:rPr>
                      <w:rFonts w:ascii="Times New Roman" w:hAnsi="Times New Roman" w:cs="Times New Roman"/>
                      <w:snapToGrid w:val="0"/>
                      <w:color w:val="auto"/>
                      <w:sz w:val="21"/>
                      <w:szCs w:val="21"/>
                    </w:rPr>
                    <w:t>居住</w:t>
                  </w:r>
                </w:p>
              </w:tc>
              <w:tc>
                <w:tcPr>
                  <w:tcW w:w="909" w:type="pct"/>
                  <w:vMerge w:val="continue"/>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vAlign w:val="center"/>
                </w:tcPr>
                <w:p>
                  <w:pPr>
                    <w:pStyle w:val="30"/>
                    <w:snapToGrid w:val="0"/>
                    <w:spacing w:line="240" w:lineRule="auto"/>
                    <w:rPr>
                      <w:rFonts w:ascii="Times New Roman" w:hAnsi="Times New Roman" w:cs="Times New Roman"/>
                      <w:color w:val="auto"/>
                      <w:sz w:val="21"/>
                      <w:szCs w:val="21"/>
                    </w:rPr>
                  </w:pPr>
                </w:p>
              </w:tc>
              <w:tc>
                <w:tcPr>
                  <w:tcW w:w="790"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散户居民点</w:t>
                  </w:r>
                </w:p>
              </w:tc>
              <w:tc>
                <w:tcPr>
                  <w:tcW w:w="417" w:type="pct"/>
                  <w:tcBorders>
                    <w:top w:val="single" w:color="auto" w:sz="12" w:space="0"/>
                  </w:tcBorders>
                  <w:vAlign w:val="center"/>
                </w:tcPr>
                <w:p>
                  <w:pPr>
                    <w:adjustRightInd w:val="0"/>
                    <w:snapToGrid w:val="0"/>
                    <w:spacing w:line="240" w:lineRule="auto"/>
                    <w:jc w:val="center"/>
                    <w:rPr>
                      <w:rFonts w:ascii="Times New Roman" w:hAnsi="Times New Roman" w:cs="Times New Roman"/>
                      <w:snapToGrid w:val="0"/>
                      <w:color w:val="auto"/>
                      <w:sz w:val="21"/>
                      <w:szCs w:val="21"/>
                    </w:rPr>
                  </w:pPr>
                  <w:r>
                    <w:rPr>
                      <w:rFonts w:hint="eastAsia" w:ascii="Times New Roman" w:hAnsi="Times New Roman" w:cs="Times New Roman"/>
                      <w:color w:val="auto"/>
                      <w:sz w:val="21"/>
                      <w:szCs w:val="21"/>
                    </w:rPr>
                    <w:t>35</w:t>
                  </w:r>
                </w:p>
              </w:tc>
              <w:tc>
                <w:tcPr>
                  <w:tcW w:w="413"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125</w:t>
                  </w:r>
                </w:p>
              </w:tc>
              <w:tc>
                <w:tcPr>
                  <w:tcW w:w="1002"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70</w:t>
                  </w:r>
                  <w:r>
                    <w:rPr>
                      <w:rFonts w:ascii="Times New Roman" w:hAnsi="Times New Roman" w:cs="Times New Roman"/>
                      <w:color w:val="auto"/>
                      <w:sz w:val="21"/>
                      <w:szCs w:val="21"/>
                    </w:rPr>
                    <w:t>户共</w:t>
                  </w:r>
                  <w:r>
                    <w:rPr>
                      <w:rFonts w:hint="eastAsia" w:ascii="Times New Roman" w:hAnsi="Times New Roman" w:cs="Times New Roman"/>
                      <w:color w:val="auto"/>
                      <w:sz w:val="21"/>
                      <w:szCs w:val="21"/>
                    </w:rPr>
                    <w:t>280</w:t>
                  </w:r>
                  <w:r>
                    <w:rPr>
                      <w:rFonts w:ascii="Times New Roman" w:hAnsi="Times New Roman" w:cs="Times New Roman"/>
                      <w:color w:val="auto"/>
                      <w:sz w:val="21"/>
                      <w:szCs w:val="21"/>
                    </w:rPr>
                    <w:t>人</w:t>
                  </w:r>
                </w:p>
              </w:tc>
              <w:tc>
                <w:tcPr>
                  <w:tcW w:w="860" w:type="pct"/>
                  <w:tcBorders>
                    <w:top w:val="single" w:color="auto" w:sz="12" w:space="0"/>
                  </w:tcBorders>
                  <w:vAlign w:val="center"/>
                </w:tcPr>
                <w:p>
                  <w:pPr>
                    <w:pStyle w:val="30"/>
                    <w:snapToGrid w:val="0"/>
                    <w:spacing w:line="240" w:lineRule="auto"/>
                    <w:rPr>
                      <w:rFonts w:ascii="Times New Roman" w:hAnsi="Times New Roman" w:cs="Times New Roman"/>
                      <w:color w:val="auto"/>
                      <w:kern w:val="2"/>
                      <w:sz w:val="21"/>
                      <w:szCs w:val="21"/>
                    </w:rPr>
                  </w:pPr>
                  <w:r>
                    <w:rPr>
                      <w:rFonts w:hint="eastAsia" w:ascii="Times New Roman" w:hAnsi="Times New Roman" w:cs="Times New Roman"/>
                      <w:snapToGrid w:val="0"/>
                      <w:color w:val="auto"/>
                      <w:sz w:val="21"/>
                      <w:szCs w:val="21"/>
                    </w:rPr>
                    <w:t>东</w:t>
                  </w:r>
                  <w:r>
                    <w:rPr>
                      <w:rFonts w:ascii="Times New Roman" w:hAnsi="Times New Roman" w:cs="Times New Roman"/>
                      <w:snapToGrid w:val="0"/>
                      <w:color w:val="auto"/>
                      <w:sz w:val="21"/>
                      <w:szCs w:val="21"/>
                    </w:rPr>
                    <w:t>北面，约</w:t>
                  </w:r>
                  <w:r>
                    <w:rPr>
                      <w:rFonts w:hint="eastAsia" w:ascii="Times New Roman" w:hAnsi="Times New Roman" w:cs="Times New Roman"/>
                      <w:snapToGrid w:val="0"/>
                      <w:color w:val="auto"/>
                      <w:sz w:val="21"/>
                      <w:szCs w:val="21"/>
                    </w:rPr>
                    <w:t>132</w:t>
                  </w:r>
                  <w:r>
                    <w:rPr>
                      <w:rFonts w:ascii="Times New Roman" w:hAnsi="Times New Roman" w:cs="Times New Roman"/>
                      <w:snapToGrid w:val="0"/>
                      <w:color w:val="auto"/>
                      <w:sz w:val="21"/>
                      <w:szCs w:val="21"/>
                    </w:rPr>
                    <w:t>m</w:t>
                  </w:r>
                </w:p>
              </w:tc>
              <w:tc>
                <w:tcPr>
                  <w:tcW w:w="358" w:type="pct"/>
                  <w:tcBorders>
                    <w:top w:val="single" w:color="auto" w:sz="12" w:space="0"/>
                  </w:tcBorders>
                  <w:vAlign w:val="center"/>
                </w:tcPr>
                <w:p>
                  <w:pPr>
                    <w:pStyle w:val="30"/>
                    <w:snapToGrid w:val="0"/>
                    <w:spacing w:line="240" w:lineRule="auto"/>
                    <w:rPr>
                      <w:rFonts w:ascii="Times New Roman" w:hAnsi="Times New Roman" w:cs="Times New Roman"/>
                      <w:snapToGrid w:val="0"/>
                      <w:color w:val="auto"/>
                      <w:sz w:val="21"/>
                      <w:szCs w:val="21"/>
                    </w:rPr>
                  </w:pPr>
                  <w:r>
                    <w:rPr>
                      <w:rFonts w:ascii="Times New Roman" w:hAnsi="Times New Roman" w:cs="Times New Roman"/>
                      <w:snapToGrid w:val="0"/>
                      <w:color w:val="auto"/>
                      <w:sz w:val="21"/>
                      <w:szCs w:val="21"/>
                    </w:rPr>
                    <w:t>居住</w:t>
                  </w:r>
                </w:p>
              </w:tc>
              <w:tc>
                <w:tcPr>
                  <w:tcW w:w="909" w:type="pct"/>
                  <w:vMerge w:val="continue"/>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vAlign w:val="center"/>
                </w:tcPr>
                <w:p>
                  <w:pPr>
                    <w:pStyle w:val="30"/>
                    <w:snapToGrid w:val="0"/>
                    <w:spacing w:line="240" w:lineRule="auto"/>
                    <w:rPr>
                      <w:rFonts w:ascii="Times New Roman" w:hAnsi="Times New Roman" w:cs="Times New Roman"/>
                      <w:color w:val="auto"/>
                      <w:sz w:val="21"/>
                      <w:szCs w:val="21"/>
                    </w:rPr>
                  </w:pPr>
                </w:p>
              </w:tc>
              <w:tc>
                <w:tcPr>
                  <w:tcW w:w="790"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大桥村</w:t>
                  </w:r>
                </w:p>
              </w:tc>
              <w:tc>
                <w:tcPr>
                  <w:tcW w:w="417" w:type="pct"/>
                  <w:tcBorders>
                    <w:top w:val="single" w:color="auto" w:sz="12" w:space="0"/>
                  </w:tcBorders>
                  <w:vAlign w:val="center"/>
                </w:tcPr>
                <w:p>
                  <w:pPr>
                    <w:adjustRightInd w:val="0"/>
                    <w:snapToGrid w:val="0"/>
                    <w:spacing w:line="240" w:lineRule="auto"/>
                    <w:jc w:val="center"/>
                    <w:rPr>
                      <w:rFonts w:ascii="Times New Roman" w:hAnsi="Times New Roman" w:cs="Times New Roman"/>
                      <w:snapToGrid w:val="0"/>
                      <w:color w:val="auto"/>
                      <w:sz w:val="21"/>
                      <w:szCs w:val="21"/>
                    </w:rPr>
                  </w:pPr>
                  <w:r>
                    <w:rPr>
                      <w:rFonts w:hint="eastAsia" w:ascii="Times New Roman" w:hAnsi="Times New Roman" w:cs="Times New Roman"/>
                      <w:color w:val="auto"/>
                      <w:sz w:val="21"/>
                      <w:szCs w:val="21"/>
                    </w:rPr>
                    <w:t>-50</w:t>
                  </w:r>
                </w:p>
              </w:tc>
              <w:tc>
                <w:tcPr>
                  <w:tcW w:w="413"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002" w:type="pc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100户共320人</w:t>
                  </w:r>
                </w:p>
              </w:tc>
              <w:tc>
                <w:tcPr>
                  <w:tcW w:w="860" w:type="pct"/>
                  <w:tcBorders>
                    <w:top w:val="single" w:color="auto" w:sz="12" w:space="0"/>
                  </w:tcBorders>
                  <w:vAlign w:val="center"/>
                </w:tcPr>
                <w:p>
                  <w:pPr>
                    <w:pStyle w:val="30"/>
                    <w:snapToGrid w:val="0"/>
                    <w:spacing w:line="240" w:lineRule="auto"/>
                    <w:rPr>
                      <w:rFonts w:ascii="Times New Roman" w:hAnsi="Times New Roman" w:cs="Times New Roman"/>
                      <w:color w:val="auto"/>
                      <w:kern w:val="2"/>
                      <w:sz w:val="21"/>
                      <w:szCs w:val="21"/>
                    </w:rPr>
                  </w:pPr>
                  <w:r>
                    <w:rPr>
                      <w:rFonts w:hint="eastAsia" w:ascii="Times New Roman" w:hAnsi="Times New Roman" w:cs="Times New Roman"/>
                      <w:snapToGrid w:val="0"/>
                      <w:color w:val="auto"/>
                      <w:sz w:val="21"/>
                      <w:szCs w:val="21"/>
                    </w:rPr>
                    <w:t>西面，约50米</w:t>
                  </w:r>
                </w:p>
              </w:tc>
              <w:tc>
                <w:tcPr>
                  <w:tcW w:w="358" w:type="pct"/>
                  <w:tcBorders>
                    <w:top w:val="single" w:color="auto" w:sz="12" w:space="0"/>
                  </w:tcBorders>
                  <w:vAlign w:val="center"/>
                </w:tcPr>
                <w:p>
                  <w:pPr>
                    <w:pStyle w:val="30"/>
                    <w:snapToGrid w:val="0"/>
                    <w:spacing w:line="240" w:lineRule="auto"/>
                    <w:rPr>
                      <w:rFonts w:ascii="Times New Roman" w:hAnsi="Times New Roman" w:cs="Times New Roman"/>
                      <w:snapToGrid w:val="0"/>
                      <w:color w:val="auto"/>
                      <w:sz w:val="21"/>
                      <w:szCs w:val="21"/>
                    </w:rPr>
                  </w:pPr>
                  <w:r>
                    <w:rPr>
                      <w:rFonts w:ascii="Times New Roman" w:hAnsi="Times New Roman" w:cs="Times New Roman"/>
                      <w:snapToGrid w:val="0"/>
                      <w:color w:val="auto"/>
                      <w:sz w:val="21"/>
                      <w:szCs w:val="21"/>
                    </w:rPr>
                    <w:t>居住</w:t>
                  </w:r>
                </w:p>
              </w:tc>
              <w:tc>
                <w:tcPr>
                  <w:tcW w:w="909" w:type="pct"/>
                  <w:vMerge w:val="continue"/>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tcBorders>
                    <w:tl2br w:val="nil"/>
                    <w:tr2bl w:val="nil"/>
                  </w:tcBorders>
                  <w:vAlign w:val="center"/>
                </w:tcPr>
                <w:p>
                  <w:pPr>
                    <w:widowControl/>
                    <w:spacing w:line="240" w:lineRule="auto"/>
                    <w:jc w:val="center"/>
                    <w:rPr>
                      <w:rFonts w:ascii="Times New Roman" w:hAnsi="Times New Roman" w:cs="Times New Roman"/>
                      <w:color w:val="auto"/>
                      <w:kern w:val="0"/>
                      <w:sz w:val="21"/>
                      <w:szCs w:val="21"/>
                    </w:rPr>
                  </w:pPr>
                </w:p>
              </w:tc>
              <w:tc>
                <w:tcPr>
                  <w:tcW w:w="790"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湖南九鼎科技九鼎职院</w:t>
                  </w:r>
                </w:p>
              </w:tc>
              <w:tc>
                <w:tcPr>
                  <w:tcW w:w="417"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200</w:t>
                  </w:r>
                </w:p>
              </w:tc>
              <w:tc>
                <w:tcPr>
                  <w:tcW w:w="413"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002"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共1000</w:t>
                  </w:r>
                  <w:r>
                    <w:rPr>
                      <w:rFonts w:ascii="Times New Roman" w:hAnsi="Times New Roman" w:cs="Times New Roman"/>
                      <w:color w:val="auto"/>
                      <w:sz w:val="21"/>
                      <w:szCs w:val="21"/>
                    </w:rPr>
                    <w:t>人</w:t>
                  </w:r>
                </w:p>
              </w:tc>
              <w:tc>
                <w:tcPr>
                  <w:tcW w:w="860" w:type="pct"/>
                  <w:tcBorders>
                    <w:tl2br w:val="nil"/>
                    <w:tr2bl w:val="nil"/>
                  </w:tcBorders>
                  <w:vAlign w:val="center"/>
                </w:tcPr>
                <w:p>
                  <w:pPr>
                    <w:pStyle w:val="30"/>
                    <w:snapToGrid w:val="0"/>
                    <w:spacing w:line="240" w:lineRule="auto"/>
                    <w:rPr>
                      <w:rFonts w:ascii="Times New Roman" w:hAnsi="Times New Roman" w:cs="Times New Roman"/>
                      <w:color w:val="auto"/>
                      <w:kern w:val="2"/>
                      <w:sz w:val="21"/>
                      <w:szCs w:val="21"/>
                    </w:rPr>
                  </w:pPr>
                  <w:r>
                    <w:rPr>
                      <w:rFonts w:hint="eastAsia" w:ascii="Times New Roman" w:hAnsi="Times New Roman" w:cs="Times New Roman"/>
                      <w:snapToGrid w:val="0"/>
                      <w:color w:val="auto"/>
                      <w:sz w:val="21"/>
                      <w:szCs w:val="21"/>
                    </w:rPr>
                    <w:t>东</w:t>
                  </w:r>
                  <w:r>
                    <w:rPr>
                      <w:rFonts w:ascii="Times New Roman" w:hAnsi="Times New Roman" w:cs="Times New Roman"/>
                      <w:snapToGrid w:val="0"/>
                      <w:color w:val="auto"/>
                      <w:sz w:val="21"/>
                      <w:szCs w:val="21"/>
                    </w:rPr>
                    <w:t>面，约</w:t>
                  </w:r>
                  <w:r>
                    <w:rPr>
                      <w:rFonts w:hint="eastAsia" w:ascii="Times New Roman" w:hAnsi="Times New Roman" w:cs="Times New Roman"/>
                      <w:snapToGrid w:val="0"/>
                      <w:color w:val="auto"/>
                      <w:sz w:val="21"/>
                      <w:szCs w:val="21"/>
                    </w:rPr>
                    <w:t>200</w:t>
                  </w:r>
                  <w:r>
                    <w:rPr>
                      <w:rFonts w:ascii="Times New Roman" w:hAnsi="Times New Roman" w:cs="Times New Roman"/>
                      <w:snapToGrid w:val="0"/>
                      <w:color w:val="auto"/>
                      <w:sz w:val="21"/>
                      <w:szCs w:val="21"/>
                    </w:rPr>
                    <w:t>m</w:t>
                  </w:r>
                </w:p>
              </w:tc>
              <w:tc>
                <w:tcPr>
                  <w:tcW w:w="358" w:type="pct"/>
                  <w:tcBorders>
                    <w:tl2br w:val="nil"/>
                    <w:tr2bl w:val="nil"/>
                  </w:tcBorders>
                  <w:vAlign w:val="center"/>
                </w:tcPr>
                <w:p>
                  <w:pPr>
                    <w:pStyle w:val="30"/>
                    <w:snapToGrid w:val="0"/>
                    <w:spacing w:line="240" w:lineRule="auto"/>
                    <w:rPr>
                      <w:rFonts w:ascii="Times New Roman" w:hAnsi="Times New Roman" w:cs="Times New Roman"/>
                      <w:color w:val="auto"/>
                      <w:kern w:val="2"/>
                      <w:sz w:val="21"/>
                      <w:szCs w:val="21"/>
                    </w:rPr>
                  </w:pPr>
                  <w:r>
                    <w:rPr>
                      <w:rFonts w:ascii="Times New Roman" w:hAnsi="Times New Roman" w:cs="Times New Roman"/>
                      <w:snapToGrid w:val="0"/>
                      <w:color w:val="auto"/>
                      <w:sz w:val="21"/>
                      <w:szCs w:val="21"/>
                    </w:rPr>
                    <w:t>居住</w:t>
                  </w:r>
                </w:p>
              </w:tc>
              <w:tc>
                <w:tcPr>
                  <w:tcW w:w="909" w:type="pct"/>
                  <w:vMerge w:val="continue"/>
                  <w:tcBorders>
                    <w:tl2br w:val="nil"/>
                    <w:tr2bl w:val="nil"/>
                  </w:tcBorders>
                  <w:vAlign w:val="center"/>
                </w:tcPr>
                <w:p>
                  <w:pPr>
                    <w:widowControl/>
                    <w:spacing w:line="240" w:lineRule="auto"/>
                    <w:jc w:val="center"/>
                    <w:rPr>
                      <w:rFonts w:ascii="Times New Roman" w:hAnsi="Times New Roman" w:cs="Times New Roman"/>
                      <w:color w:val="auto"/>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restart"/>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地</w:t>
                  </w:r>
                </w:p>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表</w:t>
                  </w:r>
                </w:p>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水</w:t>
                  </w:r>
                </w:p>
              </w:tc>
              <w:tc>
                <w:tcPr>
                  <w:tcW w:w="1620" w:type="pct"/>
                  <w:gridSpan w:val="3"/>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南湖</w:t>
                  </w:r>
                </w:p>
              </w:tc>
              <w:tc>
                <w:tcPr>
                  <w:tcW w:w="1002" w:type="pct"/>
                  <w:tcBorders>
                    <w:tl2br w:val="nil"/>
                    <w:tr2bl w:val="nil"/>
                  </w:tcBorders>
                  <w:vAlign w:val="center"/>
                </w:tcPr>
                <w:p>
                  <w:pPr>
                    <w:pStyle w:val="30"/>
                    <w:snapToGrid w:val="0"/>
                    <w:spacing w:line="240" w:lineRule="auto"/>
                    <w:rPr>
                      <w:rFonts w:ascii="Times New Roman" w:hAnsi="Times New Roman" w:cs="Times New Roman"/>
                      <w:color w:val="auto"/>
                      <w:sz w:val="21"/>
                      <w:szCs w:val="21"/>
                      <w:vertAlign w:val="superscript"/>
                    </w:rPr>
                  </w:pPr>
                  <w:r>
                    <w:rPr>
                      <w:rFonts w:ascii="Times New Roman" w:hAnsi="Times New Roman" w:cs="Times New Roman"/>
                      <w:color w:val="auto"/>
                      <w:sz w:val="21"/>
                      <w:szCs w:val="21"/>
                    </w:rPr>
                    <w:t>中</w:t>
                  </w:r>
                  <w:r>
                    <w:rPr>
                      <w:rFonts w:hint="eastAsia" w:ascii="Times New Roman" w:hAnsi="Times New Roman" w:cs="Times New Roman"/>
                      <w:color w:val="auto"/>
                      <w:sz w:val="21"/>
                      <w:szCs w:val="21"/>
                    </w:rPr>
                    <w:t>湖</w:t>
                  </w:r>
                </w:p>
              </w:tc>
              <w:tc>
                <w:tcPr>
                  <w:tcW w:w="860" w:type="pct"/>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西</w:t>
                  </w:r>
                  <w:r>
                    <w:rPr>
                      <w:rFonts w:ascii="Times New Roman" w:hAnsi="Times New Roman" w:cs="Times New Roman"/>
                      <w:color w:val="auto"/>
                      <w:sz w:val="21"/>
                      <w:szCs w:val="21"/>
                    </w:rPr>
                    <w:t>南面，约</w:t>
                  </w:r>
                  <w:r>
                    <w:rPr>
                      <w:rFonts w:hint="eastAsia" w:ascii="Times New Roman" w:hAnsi="Times New Roman" w:cs="Times New Roman"/>
                      <w:color w:val="auto"/>
                      <w:sz w:val="21"/>
                      <w:szCs w:val="21"/>
                    </w:rPr>
                    <w:t>3.4k</w:t>
                  </w:r>
                  <w:r>
                    <w:rPr>
                      <w:rFonts w:ascii="Times New Roman" w:hAnsi="Times New Roman" w:cs="Times New Roman"/>
                      <w:color w:val="auto"/>
                      <w:sz w:val="21"/>
                      <w:szCs w:val="21"/>
                    </w:rPr>
                    <w:t>m</w:t>
                  </w:r>
                </w:p>
              </w:tc>
              <w:tc>
                <w:tcPr>
                  <w:tcW w:w="358" w:type="pct"/>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景观</w:t>
                  </w:r>
                </w:p>
              </w:tc>
              <w:tc>
                <w:tcPr>
                  <w:tcW w:w="909" w:type="pct"/>
                  <w:vMerge w:val="restart"/>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《地表水环境质量标准》</w:t>
                  </w:r>
                </w:p>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GB3838-2002</w:t>
                  </w:r>
                  <w:r>
                    <w:rPr>
                      <w:rFonts w:ascii="Times New Roman" w:hAnsi="Times New Roman" w:cs="Times New Roman"/>
                      <w:color w:val="auto"/>
                      <w:spacing w:val="4"/>
                      <w:sz w:val="21"/>
                      <w:szCs w:val="21"/>
                    </w:rPr>
                    <w:t>Ⅲ</w:t>
                  </w:r>
                  <w:r>
                    <w:rPr>
                      <w:rFonts w:ascii="Times New Roman" w:hAnsi="Times New Roman" w:cs="Times New Roman"/>
                      <w:color w:val="auto"/>
                      <w:sz w:val="21"/>
                      <w:szCs w:val="21"/>
                    </w:rPr>
                    <w:t>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1620" w:type="pct"/>
                  <w:gridSpan w:val="3"/>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北港河</w:t>
                  </w:r>
                </w:p>
              </w:tc>
              <w:tc>
                <w:tcPr>
                  <w:tcW w:w="1002" w:type="pct"/>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中河</w:t>
                  </w:r>
                </w:p>
              </w:tc>
              <w:tc>
                <w:tcPr>
                  <w:tcW w:w="860" w:type="pct"/>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南面，约3.2km</w:t>
                  </w:r>
                </w:p>
              </w:tc>
              <w:tc>
                <w:tcPr>
                  <w:tcW w:w="358" w:type="pct"/>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景观</w:t>
                  </w:r>
                </w:p>
              </w:tc>
              <w:tc>
                <w:tcPr>
                  <w:tcW w:w="909"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1620" w:type="pct"/>
                  <w:gridSpan w:val="3"/>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大桥河</w:t>
                  </w:r>
                </w:p>
              </w:tc>
              <w:tc>
                <w:tcPr>
                  <w:tcW w:w="1002" w:type="pct"/>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中河</w:t>
                  </w:r>
                </w:p>
              </w:tc>
              <w:tc>
                <w:tcPr>
                  <w:tcW w:w="860" w:type="pct"/>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西面，460m</w:t>
                  </w:r>
                </w:p>
              </w:tc>
              <w:tc>
                <w:tcPr>
                  <w:tcW w:w="358" w:type="pct"/>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景观</w:t>
                  </w:r>
                </w:p>
              </w:tc>
              <w:tc>
                <w:tcPr>
                  <w:tcW w:w="909"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500" w:hRule="atLeast"/>
                <w:jc w:val="center"/>
              </w:trPr>
              <w:tc>
                <w:tcPr>
                  <w:tcW w:w="248" w:type="pct"/>
                  <w:vMerge w:val="restart"/>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声</w:t>
                  </w:r>
                </w:p>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环</w:t>
                  </w:r>
                </w:p>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境</w:t>
                  </w:r>
                </w:p>
              </w:tc>
              <w:tc>
                <w:tcPr>
                  <w:tcW w:w="790"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滨水天悦小区</w:t>
                  </w:r>
                </w:p>
              </w:tc>
              <w:tc>
                <w:tcPr>
                  <w:tcW w:w="417"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snapToGrid w:val="0"/>
                      <w:color w:val="auto"/>
                      <w:sz w:val="21"/>
                      <w:szCs w:val="21"/>
                    </w:rPr>
                    <w:t>50</w:t>
                  </w:r>
                </w:p>
              </w:tc>
              <w:tc>
                <w:tcPr>
                  <w:tcW w:w="413"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-116</w:t>
                  </w:r>
                </w:p>
              </w:tc>
              <w:tc>
                <w:tcPr>
                  <w:tcW w:w="1002"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1000户共3000人</w:t>
                  </w:r>
                </w:p>
              </w:tc>
              <w:tc>
                <w:tcPr>
                  <w:tcW w:w="860" w:type="pct"/>
                  <w:tcBorders>
                    <w:tl2br w:val="nil"/>
                    <w:tr2bl w:val="nil"/>
                  </w:tcBorders>
                  <w:vAlign w:val="center"/>
                </w:tcPr>
                <w:p>
                  <w:pPr>
                    <w:pStyle w:val="30"/>
                    <w:snapToGrid w:val="0"/>
                    <w:spacing w:line="240" w:lineRule="auto"/>
                    <w:rPr>
                      <w:rFonts w:ascii="Times New Roman" w:hAnsi="Times New Roman" w:cs="Times New Roman"/>
                      <w:color w:val="auto"/>
                      <w:kern w:val="2"/>
                      <w:sz w:val="21"/>
                      <w:szCs w:val="21"/>
                    </w:rPr>
                  </w:pPr>
                  <w:r>
                    <w:rPr>
                      <w:rFonts w:hint="eastAsia" w:ascii="Times New Roman" w:hAnsi="Times New Roman" w:cs="Times New Roman"/>
                      <w:color w:val="auto"/>
                      <w:kern w:val="2"/>
                      <w:sz w:val="21"/>
                      <w:szCs w:val="21"/>
                    </w:rPr>
                    <w:t>东南面，168m</w:t>
                  </w:r>
                </w:p>
              </w:tc>
              <w:tc>
                <w:tcPr>
                  <w:tcW w:w="358" w:type="pct"/>
                  <w:tcBorders>
                    <w:tl2br w:val="nil"/>
                    <w:tr2bl w:val="nil"/>
                  </w:tcBorders>
                  <w:vAlign w:val="center"/>
                </w:tcPr>
                <w:p>
                  <w:pPr>
                    <w:pStyle w:val="30"/>
                    <w:snapToGrid w:val="0"/>
                    <w:spacing w:line="240" w:lineRule="auto"/>
                    <w:rPr>
                      <w:rFonts w:ascii="Times New Roman" w:hAnsi="Times New Roman" w:cs="Times New Roman"/>
                      <w:color w:val="auto"/>
                      <w:kern w:val="2"/>
                      <w:sz w:val="21"/>
                      <w:szCs w:val="21"/>
                    </w:rPr>
                  </w:pPr>
                  <w:r>
                    <w:rPr>
                      <w:rFonts w:hint="eastAsia" w:ascii="Times New Roman" w:hAnsi="Times New Roman" w:cs="Times New Roman"/>
                      <w:snapToGrid w:val="0"/>
                      <w:color w:val="auto"/>
                      <w:sz w:val="21"/>
                      <w:szCs w:val="21"/>
                    </w:rPr>
                    <w:t>居住</w:t>
                  </w:r>
                </w:p>
              </w:tc>
              <w:tc>
                <w:tcPr>
                  <w:tcW w:w="909" w:type="pct"/>
                  <w:vMerge w:val="restart"/>
                  <w:tcBorders>
                    <w:tl2br w:val="nil"/>
                    <w:tr2bl w:val="nil"/>
                  </w:tcBorders>
                  <w:vAlign w:val="center"/>
                </w:tcPr>
                <w:p>
                  <w:pPr>
                    <w:pStyle w:val="30"/>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《声环境质量标准》（GB3096-2008）2类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500" w:hRule="atLeast"/>
                <w:jc w:val="center"/>
              </w:trPr>
              <w:tc>
                <w:tcPr>
                  <w:tcW w:w="248"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790"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富兴华城小区</w:t>
                  </w:r>
                </w:p>
              </w:tc>
              <w:tc>
                <w:tcPr>
                  <w:tcW w:w="417" w:type="pct"/>
                  <w:tcBorders>
                    <w:tl2br w:val="nil"/>
                    <w:tr2bl w:val="nil"/>
                  </w:tcBorders>
                  <w:vAlign w:val="center"/>
                </w:tcPr>
                <w:p>
                  <w:pPr>
                    <w:adjustRightInd w:val="0"/>
                    <w:snapToGrid w:val="0"/>
                    <w:spacing w:line="240" w:lineRule="auto"/>
                    <w:jc w:val="center"/>
                    <w:rPr>
                      <w:rFonts w:ascii="Times New Roman" w:hAnsi="Times New Roman" w:cs="Times New Roman"/>
                      <w:snapToGrid w:val="0"/>
                      <w:color w:val="auto"/>
                      <w:sz w:val="21"/>
                      <w:szCs w:val="21"/>
                    </w:rPr>
                  </w:pPr>
                  <w:r>
                    <w:rPr>
                      <w:rFonts w:hint="eastAsia" w:ascii="Times New Roman" w:hAnsi="Times New Roman" w:cs="Times New Roman"/>
                      <w:color w:val="auto"/>
                      <w:sz w:val="21"/>
                      <w:szCs w:val="21"/>
                    </w:rPr>
                    <w:t>0</w:t>
                  </w:r>
                </w:p>
              </w:tc>
              <w:tc>
                <w:tcPr>
                  <w:tcW w:w="413"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-25</w:t>
                  </w:r>
                </w:p>
              </w:tc>
              <w:tc>
                <w:tcPr>
                  <w:tcW w:w="1002"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250</w:t>
                  </w:r>
                  <w:r>
                    <w:rPr>
                      <w:rFonts w:ascii="Times New Roman" w:hAnsi="Times New Roman" w:cs="Times New Roman"/>
                      <w:color w:val="auto"/>
                      <w:sz w:val="21"/>
                      <w:szCs w:val="21"/>
                    </w:rPr>
                    <w:t>户共</w:t>
                  </w:r>
                  <w:r>
                    <w:rPr>
                      <w:rFonts w:hint="eastAsia" w:ascii="Times New Roman" w:hAnsi="Times New Roman" w:cs="Times New Roman"/>
                      <w:color w:val="auto"/>
                      <w:sz w:val="21"/>
                      <w:szCs w:val="21"/>
                    </w:rPr>
                    <w:t>1000</w:t>
                  </w:r>
                  <w:r>
                    <w:rPr>
                      <w:rFonts w:ascii="Times New Roman" w:hAnsi="Times New Roman" w:cs="Times New Roman"/>
                      <w:color w:val="auto"/>
                      <w:sz w:val="21"/>
                      <w:szCs w:val="21"/>
                    </w:rPr>
                    <w:t>人</w:t>
                  </w:r>
                </w:p>
              </w:tc>
              <w:tc>
                <w:tcPr>
                  <w:tcW w:w="860" w:type="pct"/>
                  <w:tcBorders>
                    <w:tl2br w:val="nil"/>
                    <w:tr2bl w:val="nil"/>
                  </w:tcBorders>
                  <w:vAlign w:val="center"/>
                </w:tcPr>
                <w:p>
                  <w:pPr>
                    <w:pStyle w:val="30"/>
                    <w:snapToGrid w:val="0"/>
                    <w:spacing w:line="240" w:lineRule="auto"/>
                    <w:rPr>
                      <w:rFonts w:ascii="Times New Roman" w:hAnsi="Times New Roman" w:cs="Times New Roman"/>
                      <w:color w:val="auto"/>
                      <w:kern w:val="2"/>
                      <w:sz w:val="21"/>
                      <w:szCs w:val="21"/>
                    </w:rPr>
                  </w:pPr>
                  <w:r>
                    <w:rPr>
                      <w:rFonts w:hint="eastAsia" w:ascii="Times New Roman" w:hAnsi="Times New Roman" w:cs="Times New Roman"/>
                      <w:snapToGrid w:val="0"/>
                      <w:color w:val="auto"/>
                      <w:sz w:val="21"/>
                      <w:szCs w:val="21"/>
                    </w:rPr>
                    <w:t>南</w:t>
                  </w:r>
                  <w:r>
                    <w:rPr>
                      <w:rFonts w:ascii="Times New Roman" w:hAnsi="Times New Roman" w:cs="Times New Roman"/>
                      <w:snapToGrid w:val="0"/>
                      <w:color w:val="auto"/>
                      <w:sz w:val="21"/>
                      <w:szCs w:val="21"/>
                    </w:rPr>
                    <w:t>面，约</w:t>
                  </w:r>
                  <w:r>
                    <w:rPr>
                      <w:rFonts w:hint="eastAsia" w:ascii="Times New Roman" w:hAnsi="Times New Roman" w:cs="Times New Roman"/>
                      <w:snapToGrid w:val="0"/>
                      <w:color w:val="auto"/>
                      <w:sz w:val="21"/>
                      <w:szCs w:val="21"/>
                    </w:rPr>
                    <w:t>25</w:t>
                  </w:r>
                  <w:r>
                    <w:rPr>
                      <w:rFonts w:ascii="Times New Roman" w:hAnsi="Times New Roman" w:cs="Times New Roman"/>
                      <w:snapToGrid w:val="0"/>
                      <w:color w:val="auto"/>
                      <w:sz w:val="21"/>
                      <w:szCs w:val="21"/>
                    </w:rPr>
                    <w:t>m</w:t>
                  </w:r>
                </w:p>
              </w:tc>
              <w:tc>
                <w:tcPr>
                  <w:tcW w:w="358" w:type="pct"/>
                  <w:tcBorders>
                    <w:tl2br w:val="nil"/>
                    <w:tr2bl w:val="nil"/>
                  </w:tcBorders>
                  <w:vAlign w:val="center"/>
                </w:tcPr>
                <w:p>
                  <w:pPr>
                    <w:pStyle w:val="30"/>
                    <w:snapToGrid w:val="0"/>
                    <w:spacing w:line="240" w:lineRule="auto"/>
                    <w:rPr>
                      <w:rFonts w:ascii="Times New Roman" w:hAnsi="Times New Roman" w:cs="Times New Roman"/>
                      <w:snapToGrid w:val="0"/>
                      <w:color w:val="auto"/>
                      <w:sz w:val="21"/>
                      <w:szCs w:val="21"/>
                    </w:rPr>
                  </w:pPr>
                  <w:r>
                    <w:rPr>
                      <w:rFonts w:ascii="Times New Roman" w:hAnsi="Times New Roman" w:cs="Times New Roman"/>
                      <w:snapToGrid w:val="0"/>
                      <w:color w:val="auto"/>
                      <w:sz w:val="21"/>
                      <w:szCs w:val="21"/>
                    </w:rPr>
                    <w:t>居住</w:t>
                  </w:r>
                </w:p>
              </w:tc>
              <w:tc>
                <w:tcPr>
                  <w:tcW w:w="909"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402" w:hRule="atLeast"/>
                <w:jc w:val="center"/>
              </w:trPr>
              <w:tc>
                <w:tcPr>
                  <w:tcW w:w="248"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790"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居民小区</w:t>
                  </w:r>
                </w:p>
              </w:tc>
              <w:tc>
                <w:tcPr>
                  <w:tcW w:w="417"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413"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65</w:t>
                  </w:r>
                </w:p>
              </w:tc>
              <w:tc>
                <w:tcPr>
                  <w:tcW w:w="1002"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500</w:t>
                  </w:r>
                  <w:r>
                    <w:rPr>
                      <w:rFonts w:ascii="Times New Roman" w:hAnsi="Times New Roman" w:cs="Times New Roman"/>
                      <w:color w:val="auto"/>
                      <w:sz w:val="21"/>
                      <w:szCs w:val="21"/>
                    </w:rPr>
                    <w:t>户共</w:t>
                  </w:r>
                  <w:r>
                    <w:rPr>
                      <w:rFonts w:hint="eastAsia" w:ascii="Times New Roman" w:hAnsi="Times New Roman" w:cs="Times New Roman"/>
                      <w:color w:val="auto"/>
                      <w:sz w:val="21"/>
                      <w:szCs w:val="21"/>
                    </w:rPr>
                    <w:t>200</w:t>
                  </w:r>
                  <w:r>
                    <w:rPr>
                      <w:rFonts w:ascii="Times New Roman" w:hAnsi="Times New Roman" w:cs="Times New Roman"/>
                      <w:color w:val="auto"/>
                      <w:sz w:val="21"/>
                      <w:szCs w:val="21"/>
                    </w:rPr>
                    <w:t>人</w:t>
                  </w:r>
                </w:p>
              </w:tc>
              <w:tc>
                <w:tcPr>
                  <w:tcW w:w="860" w:type="pct"/>
                  <w:tcBorders>
                    <w:tl2br w:val="nil"/>
                    <w:tr2bl w:val="nil"/>
                  </w:tcBorders>
                  <w:vAlign w:val="center"/>
                </w:tcPr>
                <w:p>
                  <w:pPr>
                    <w:pStyle w:val="30"/>
                    <w:snapToGrid w:val="0"/>
                    <w:spacing w:line="240" w:lineRule="auto"/>
                    <w:rPr>
                      <w:rFonts w:ascii="Times New Roman" w:hAnsi="Times New Roman" w:cs="Times New Roman"/>
                      <w:color w:val="auto"/>
                      <w:kern w:val="2"/>
                      <w:sz w:val="21"/>
                      <w:szCs w:val="21"/>
                    </w:rPr>
                  </w:pPr>
                  <w:r>
                    <w:rPr>
                      <w:rFonts w:ascii="Times New Roman" w:hAnsi="Times New Roman" w:cs="Times New Roman"/>
                      <w:snapToGrid w:val="0"/>
                      <w:color w:val="auto"/>
                      <w:sz w:val="21"/>
                      <w:szCs w:val="21"/>
                    </w:rPr>
                    <w:t>北面，约</w:t>
                  </w:r>
                  <w:r>
                    <w:rPr>
                      <w:rFonts w:hint="eastAsia" w:ascii="Times New Roman" w:hAnsi="Times New Roman" w:cs="Times New Roman"/>
                      <w:snapToGrid w:val="0"/>
                      <w:color w:val="auto"/>
                      <w:sz w:val="21"/>
                      <w:szCs w:val="21"/>
                    </w:rPr>
                    <w:t>65</w:t>
                  </w:r>
                  <w:r>
                    <w:rPr>
                      <w:rFonts w:ascii="Times New Roman" w:hAnsi="Times New Roman" w:cs="Times New Roman"/>
                      <w:snapToGrid w:val="0"/>
                      <w:color w:val="auto"/>
                      <w:sz w:val="21"/>
                      <w:szCs w:val="21"/>
                    </w:rPr>
                    <w:t>m</w:t>
                  </w:r>
                </w:p>
              </w:tc>
              <w:tc>
                <w:tcPr>
                  <w:tcW w:w="358" w:type="pct"/>
                  <w:tcBorders>
                    <w:tl2br w:val="nil"/>
                    <w:tr2bl w:val="nil"/>
                  </w:tcBorders>
                  <w:vAlign w:val="center"/>
                </w:tcPr>
                <w:p>
                  <w:pPr>
                    <w:pStyle w:val="30"/>
                    <w:snapToGrid w:val="0"/>
                    <w:spacing w:line="240" w:lineRule="auto"/>
                    <w:rPr>
                      <w:rFonts w:ascii="Times New Roman" w:hAnsi="Times New Roman" w:cs="Times New Roman"/>
                      <w:color w:val="auto"/>
                      <w:kern w:val="2"/>
                      <w:sz w:val="21"/>
                      <w:szCs w:val="21"/>
                    </w:rPr>
                  </w:pPr>
                  <w:r>
                    <w:rPr>
                      <w:rFonts w:ascii="Times New Roman" w:hAnsi="Times New Roman" w:cs="Times New Roman"/>
                      <w:snapToGrid w:val="0"/>
                      <w:color w:val="auto"/>
                      <w:sz w:val="21"/>
                      <w:szCs w:val="21"/>
                    </w:rPr>
                    <w:t>居住</w:t>
                  </w:r>
                </w:p>
              </w:tc>
              <w:tc>
                <w:tcPr>
                  <w:tcW w:w="909"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462" w:hRule="atLeast"/>
                <w:jc w:val="center"/>
              </w:trPr>
              <w:tc>
                <w:tcPr>
                  <w:tcW w:w="248"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790"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散户居民点</w:t>
                  </w:r>
                </w:p>
              </w:tc>
              <w:tc>
                <w:tcPr>
                  <w:tcW w:w="417"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35</w:t>
                  </w:r>
                </w:p>
              </w:tc>
              <w:tc>
                <w:tcPr>
                  <w:tcW w:w="413"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125</w:t>
                  </w:r>
                </w:p>
              </w:tc>
              <w:tc>
                <w:tcPr>
                  <w:tcW w:w="1002"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70</w:t>
                  </w:r>
                  <w:r>
                    <w:rPr>
                      <w:rFonts w:ascii="Times New Roman" w:hAnsi="Times New Roman" w:cs="Times New Roman"/>
                      <w:color w:val="auto"/>
                      <w:sz w:val="21"/>
                      <w:szCs w:val="21"/>
                    </w:rPr>
                    <w:t>户共</w:t>
                  </w:r>
                  <w:r>
                    <w:rPr>
                      <w:rFonts w:hint="eastAsia" w:ascii="Times New Roman" w:hAnsi="Times New Roman" w:cs="Times New Roman"/>
                      <w:color w:val="auto"/>
                      <w:sz w:val="21"/>
                      <w:szCs w:val="21"/>
                    </w:rPr>
                    <w:t>280</w:t>
                  </w:r>
                  <w:r>
                    <w:rPr>
                      <w:rFonts w:ascii="Times New Roman" w:hAnsi="Times New Roman" w:cs="Times New Roman"/>
                      <w:color w:val="auto"/>
                      <w:sz w:val="21"/>
                      <w:szCs w:val="21"/>
                    </w:rPr>
                    <w:t>人</w:t>
                  </w:r>
                </w:p>
              </w:tc>
              <w:tc>
                <w:tcPr>
                  <w:tcW w:w="860" w:type="pct"/>
                  <w:tcBorders>
                    <w:tl2br w:val="nil"/>
                    <w:tr2bl w:val="nil"/>
                  </w:tcBorders>
                  <w:vAlign w:val="center"/>
                </w:tcPr>
                <w:p>
                  <w:pPr>
                    <w:pStyle w:val="30"/>
                    <w:snapToGrid w:val="0"/>
                    <w:spacing w:line="240" w:lineRule="auto"/>
                    <w:rPr>
                      <w:rFonts w:ascii="Times New Roman" w:hAnsi="Times New Roman" w:cs="Times New Roman"/>
                      <w:color w:val="auto"/>
                      <w:kern w:val="2"/>
                      <w:sz w:val="21"/>
                      <w:szCs w:val="21"/>
                    </w:rPr>
                  </w:pPr>
                  <w:r>
                    <w:rPr>
                      <w:rFonts w:hint="eastAsia" w:ascii="Times New Roman" w:hAnsi="Times New Roman" w:cs="Times New Roman"/>
                      <w:snapToGrid w:val="0"/>
                      <w:color w:val="auto"/>
                      <w:sz w:val="21"/>
                      <w:szCs w:val="21"/>
                    </w:rPr>
                    <w:t>东</w:t>
                  </w:r>
                  <w:r>
                    <w:rPr>
                      <w:rFonts w:ascii="Times New Roman" w:hAnsi="Times New Roman" w:cs="Times New Roman"/>
                      <w:snapToGrid w:val="0"/>
                      <w:color w:val="auto"/>
                      <w:sz w:val="21"/>
                      <w:szCs w:val="21"/>
                    </w:rPr>
                    <w:t>北面，约</w:t>
                  </w:r>
                  <w:r>
                    <w:rPr>
                      <w:rFonts w:hint="eastAsia" w:ascii="Times New Roman" w:hAnsi="Times New Roman" w:cs="Times New Roman"/>
                      <w:snapToGrid w:val="0"/>
                      <w:color w:val="auto"/>
                      <w:sz w:val="21"/>
                      <w:szCs w:val="21"/>
                    </w:rPr>
                    <w:t>132</w:t>
                  </w:r>
                  <w:r>
                    <w:rPr>
                      <w:rFonts w:ascii="Times New Roman" w:hAnsi="Times New Roman" w:cs="Times New Roman"/>
                      <w:snapToGrid w:val="0"/>
                      <w:color w:val="auto"/>
                      <w:sz w:val="21"/>
                      <w:szCs w:val="21"/>
                    </w:rPr>
                    <w:t>m</w:t>
                  </w:r>
                </w:p>
              </w:tc>
              <w:tc>
                <w:tcPr>
                  <w:tcW w:w="358" w:type="pct"/>
                  <w:tcBorders>
                    <w:tl2br w:val="nil"/>
                    <w:tr2bl w:val="nil"/>
                  </w:tcBorders>
                  <w:vAlign w:val="center"/>
                </w:tcPr>
                <w:p>
                  <w:pPr>
                    <w:pStyle w:val="30"/>
                    <w:snapToGrid w:val="0"/>
                    <w:spacing w:line="240" w:lineRule="auto"/>
                    <w:rPr>
                      <w:rFonts w:ascii="Times New Roman" w:hAnsi="Times New Roman" w:cs="Times New Roman"/>
                      <w:color w:val="auto"/>
                      <w:kern w:val="2"/>
                      <w:sz w:val="21"/>
                      <w:szCs w:val="21"/>
                    </w:rPr>
                  </w:pPr>
                  <w:r>
                    <w:rPr>
                      <w:rFonts w:ascii="Times New Roman" w:hAnsi="Times New Roman" w:cs="Times New Roman"/>
                      <w:snapToGrid w:val="0"/>
                      <w:color w:val="auto"/>
                      <w:sz w:val="21"/>
                      <w:szCs w:val="21"/>
                    </w:rPr>
                    <w:t>居住</w:t>
                  </w:r>
                </w:p>
              </w:tc>
              <w:tc>
                <w:tcPr>
                  <w:tcW w:w="909"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790"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大桥村</w:t>
                  </w:r>
                </w:p>
              </w:tc>
              <w:tc>
                <w:tcPr>
                  <w:tcW w:w="417"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-50</w:t>
                  </w:r>
                </w:p>
              </w:tc>
              <w:tc>
                <w:tcPr>
                  <w:tcW w:w="413"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002"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100户共320人</w:t>
                  </w:r>
                </w:p>
              </w:tc>
              <w:tc>
                <w:tcPr>
                  <w:tcW w:w="860" w:type="pct"/>
                  <w:tcBorders>
                    <w:tl2br w:val="nil"/>
                    <w:tr2bl w:val="nil"/>
                  </w:tcBorders>
                  <w:vAlign w:val="center"/>
                </w:tcPr>
                <w:p>
                  <w:pPr>
                    <w:pStyle w:val="30"/>
                    <w:snapToGrid w:val="0"/>
                    <w:spacing w:line="240" w:lineRule="auto"/>
                    <w:rPr>
                      <w:rFonts w:ascii="Times New Roman" w:hAnsi="Times New Roman" w:cs="Times New Roman"/>
                      <w:snapToGrid w:val="0"/>
                      <w:color w:val="auto"/>
                      <w:sz w:val="21"/>
                      <w:szCs w:val="21"/>
                    </w:rPr>
                  </w:pPr>
                  <w:r>
                    <w:rPr>
                      <w:rFonts w:hint="eastAsia" w:ascii="Times New Roman" w:hAnsi="Times New Roman" w:cs="Times New Roman"/>
                      <w:snapToGrid w:val="0"/>
                      <w:color w:val="auto"/>
                      <w:sz w:val="21"/>
                      <w:szCs w:val="21"/>
                    </w:rPr>
                    <w:t>西面，约50米</w:t>
                  </w:r>
                </w:p>
              </w:tc>
              <w:tc>
                <w:tcPr>
                  <w:tcW w:w="358" w:type="pct"/>
                  <w:tcBorders>
                    <w:tl2br w:val="nil"/>
                    <w:tr2bl w:val="nil"/>
                  </w:tcBorders>
                  <w:vAlign w:val="center"/>
                </w:tcPr>
                <w:p>
                  <w:pPr>
                    <w:pStyle w:val="30"/>
                    <w:snapToGrid w:val="0"/>
                    <w:spacing w:line="240" w:lineRule="auto"/>
                    <w:rPr>
                      <w:rFonts w:ascii="Times New Roman" w:hAnsi="Times New Roman" w:cs="Times New Roman"/>
                      <w:snapToGrid w:val="0"/>
                      <w:color w:val="auto"/>
                      <w:sz w:val="21"/>
                      <w:szCs w:val="21"/>
                    </w:rPr>
                  </w:pPr>
                  <w:r>
                    <w:rPr>
                      <w:rFonts w:ascii="Times New Roman" w:hAnsi="Times New Roman" w:cs="Times New Roman"/>
                      <w:snapToGrid w:val="0"/>
                      <w:color w:val="auto"/>
                      <w:sz w:val="21"/>
                      <w:szCs w:val="21"/>
                    </w:rPr>
                    <w:t>居住</w:t>
                  </w:r>
                </w:p>
              </w:tc>
              <w:tc>
                <w:tcPr>
                  <w:tcW w:w="909"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c>
                <w:tcPr>
                  <w:tcW w:w="790"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湖南九鼎科技九鼎职院</w:t>
                  </w:r>
                </w:p>
              </w:tc>
              <w:tc>
                <w:tcPr>
                  <w:tcW w:w="417"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200</w:t>
                  </w:r>
                </w:p>
              </w:tc>
              <w:tc>
                <w:tcPr>
                  <w:tcW w:w="413"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002" w:type="pct"/>
                  <w:tcBorders>
                    <w:tl2br w:val="nil"/>
                    <w:tr2bl w:val="nil"/>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共1000</w:t>
                  </w:r>
                  <w:r>
                    <w:rPr>
                      <w:rFonts w:ascii="Times New Roman" w:hAnsi="Times New Roman" w:cs="Times New Roman"/>
                      <w:color w:val="auto"/>
                      <w:sz w:val="21"/>
                      <w:szCs w:val="21"/>
                    </w:rPr>
                    <w:t>人</w:t>
                  </w:r>
                </w:p>
              </w:tc>
              <w:tc>
                <w:tcPr>
                  <w:tcW w:w="860" w:type="pct"/>
                  <w:tcBorders>
                    <w:tl2br w:val="nil"/>
                    <w:tr2bl w:val="nil"/>
                  </w:tcBorders>
                  <w:vAlign w:val="center"/>
                </w:tcPr>
                <w:p>
                  <w:pPr>
                    <w:pStyle w:val="30"/>
                    <w:snapToGrid w:val="0"/>
                    <w:spacing w:line="240" w:lineRule="auto"/>
                    <w:rPr>
                      <w:rFonts w:ascii="Times New Roman" w:hAnsi="Times New Roman" w:cs="Times New Roman"/>
                      <w:snapToGrid w:val="0"/>
                      <w:color w:val="auto"/>
                      <w:sz w:val="21"/>
                      <w:szCs w:val="21"/>
                    </w:rPr>
                  </w:pPr>
                  <w:r>
                    <w:rPr>
                      <w:rFonts w:hint="eastAsia" w:ascii="Times New Roman" w:hAnsi="Times New Roman" w:cs="Times New Roman"/>
                      <w:snapToGrid w:val="0"/>
                      <w:color w:val="auto"/>
                      <w:sz w:val="21"/>
                      <w:szCs w:val="21"/>
                    </w:rPr>
                    <w:t>东</w:t>
                  </w:r>
                  <w:r>
                    <w:rPr>
                      <w:rFonts w:ascii="Times New Roman" w:hAnsi="Times New Roman" w:cs="Times New Roman"/>
                      <w:snapToGrid w:val="0"/>
                      <w:color w:val="auto"/>
                      <w:sz w:val="21"/>
                      <w:szCs w:val="21"/>
                    </w:rPr>
                    <w:t>面，约</w:t>
                  </w:r>
                  <w:r>
                    <w:rPr>
                      <w:rFonts w:hint="eastAsia" w:ascii="Times New Roman" w:hAnsi="Times New Roman" w:cs="Times New Roman"/>
                      <w:snapToGrid w:val="0"/>
                      <w:color w:val="auto"/>
                      <w:sz w:val="21"/>
                      <w:szCs w:val="21"/>
                    </w:rPr>
                    <w:t>200</w:t>
                  </w:r>
                  <w:r>
                    <w:rPr>
                      <w:rFonts w:ascii="Times New Roman" w:hAnsi="Times New Roman" w:cs="Times New Roman"/>
                      <w:snapToGrid w:val="0"/>
                      <w:color w:val="auto"/>
                      <w:sz w:val="21"/>
                      <w:szCs w:val="21"/>
                    </w:rPr>
                    <w:t>m</w:t>
                  </w:r>
                </w:p>
              </w:tc>
              <w:tc>
                <w:tcPr>
                  <w:tcW w:w="358" w:type="pct"/>
                  <w:tcBorders>
                    <w:tl2br w:val="nil"/>
                    <w:tr2bl w:val="nil"/>
                  </w:tcBorders>
                  <w:vAlign w:val="center"/>
                </w:tcPr>
                <w:p>
                  <w:pPr>
                    <w:pStyle w:val="30"/>
                    <w:snapToGrid w:val="0"/>
                    <w:spacing w:line="240" w:lineRule="auto"/>
                    <w:rPr>
                      <w:rFonts w:ascii="Times New Roman" w:hAnsi="Times New Roman" w:cs="Times New Roman"/>
                      <w:snapToGrid w:val="0"/>
                      <w:color w:val="auto"/>
                      <w:sz w:val="21"/>
                      <w:szCs w:val="21"/>
                    </w:rPr>
                  </w:pPr>
                  <w:r>
                    <w:rPr>
                      <w:rFonts w:hint="eastAsia" w:ascii="Times New Roman" w:hAnsi="Times New Roman" w:cs="Times New Roman"/>
                      <w:snapToGrid w:val="0"/>
                      <w:color w:val="auto"/>
                      <w:sz w:val="21"/>
                      <w:szCs w:val="21"/>
                    </w:rPr>
                    <w:t>教育</w:t>
                  </w:r>
                </w:p>
              </w:tc>
              <w:tc>
                <w:tcPr>
                  <w:tcW w:w="909" w:type="pct"/>
                  <w:vMerge w:val="continue"/>
                  <w:tcBorders>
                    <w:tl2br w:val="nil"/>
                    <w:tr2bl w:val="nil"/>
                  </w:tcBorders>
                  <w:vAlign w:val="center"/>
                </w:tcPr>
                <w:p>
                  <w:pPr>
                    <w:pStyle w:val="30"/>
                    <w:snapToGrid w:val="0"/>
                    <w:spacing w:line="240" w:lineRule="auto"/>
                    <w:rPr>
                      <w:rFonts w:ascii="Times New Roman" w:hAnsi="Times New Roman" w:cs="Times New Roman"/>
                      <w:color w:val="auto"/>
                      <w:sz w:val="21"/>
                      <w:szCs w:val="21"/>
                    </w:rPr>
                  </w:pPr>
                </w:p>
              </w:tc>
            </w:tr>
          </w:tbl>
          <w:p>
            <w:pPr>
              <w:pStyle w:val="2"/>
              <w:rPr>
                <w:color w:val="auto"/>
              </w:rPr>
            </w:pPr>
          </w:p>
        </w:tc>
      </w:tr>
    </w:tbl>
    <w:p>
      <w:pPr>
        <w:pStyle w:val="2"/>
        <w:rPr>
          <w:color w:val="auto"/>
        </w:rPr>
      </w:pPr>
    </w:p>
    <w:p>
      <w:pPr>
        <w:rPr>
          <w:color w:val="auto"/>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4"/>
        <w:rPr>
          <w:color w:val="auto"/>
        </w:rPr>
      </w:pPr>
      <w:bookmarkStart w:id="4" w:name="_Toc28435"/>
      <w:r>
        <w:rPr>
          <w:rFonts w:hint="eastAsia"/>
          <w:color w:val="auto"/>
        </w:rPr>
        <w:t>四、</w:t>
      </w:r>
      <w:r>
        <w:rPr>
          <w:color w:val="auto"/>
        </w:rPr>
        <w:t>评价适用标准</w:t>
      </w:r>
      <w:bookmarkEnd w:id="4"/>
    </w:p>
    <w:tbl>
      <w:tblPr>
        <w:tblStyle w:val="18"/>
        <w:tblW w:w="92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88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22" w:type="dxa"/>
            <w:tcBorders>
              <w:tl2br w:val="nil"/>
              <w:tr2bl w:val="nil"/>
            </w:tcBorders>
            <w:vAlign w:val="center"/>
          </w:tcPr>
          <w:p>
            <w:pPr>
              <w:jc w:val="center"/>
              <w:rPr>
                <w:rFonts w:ascii="Times New Roman" w:hAnsi="Times New Roman" w:cs="Times New Roman"/>
                <w:color w:val="auto"/>
              </w:rPr>
            </w:pPr>
            <w:r>
              <w:rPr>
                <w:rFonts w:ascii="Times New Roman" w:hAnsi="Times New Roman" w:cs="Times New Roman"/>
                <w:color w:val="auto"/>
              </w:rPr>
              <w:t>环境质量标准</w:t>
            </w:r>
          </w:p>
        </w:tc>
        <w:tc>
          <w:tcPr>
            <w:tcW w:w="8866" w:type="dxa"/>
            <w:tcBorders>
              <w:tl2br w:val="nil"/>
              <w:tr2bl w:val="nil"/>
            </w:tcBorders>
          </w:tcPr>
          <w:p>
            <w:pPr>
              <w:pStyle w:val="5"/>
              <w:ind w:firstLine="562"/>
              <w:outlineLvl w:val="1"/>
              <w:rPr>
                <w:rFonts w:cs="Times New Roman"/>
                <w:color w:val="auto"/>
              </w:rPr>
            </w:pPr>
            <w:r>
              <w:rPr>
                <w:rFonts w:cs="Times New Roman"/>
                <w:color w:val="auto"/>
              </w:rPr>
              <w:t>1、环境空气质量</w:t>
            </w:r>
          </w:p>
          <w:p>
            <w:pPr>
              <w:ind w:firstLine="480" w:firstLineChars="200"/>
              <w:rPr>
                <w:rFonts w:ascii="Times New Roman" w:hAnsi="Times New Roman" w:cs="Times New Roman"/>
                <w:color w:val="auto"/>
              </w:rPr>
            </w:pPr>
            <w:r>
              <w:rPr>
                <w:rFonts w:ascii="Times New Roman" w:hAnsi="Times New Roman" w:cs="Times New Roman"/>
                <w:color w:val="auto"/>
              </w:rPr>
              <w:t>SO</w:t>
            </w:r>
            <w:r>
              <w:rPr>
                <w:rFonts w:ascii="Times New Roman" w:hAnsi="Times New Roman" w:cs="Times New Roman"/>
                <w:color w:val="auto"/>
                <w:vertAlign w:val="subscript"/>
              </w:rPr>
              <w:t>2</w:t>
            </w:r>
            <w:r>
              <w:rPr>
                <w:rFonts w:ascii="Times New Roman" w:hAnsi="Times New Roman" w:cs="Times New Roman"/>
                <w:color w:val="auto"/>
              </w:rPr>
              <w:t>、NO</w:t>
            </w:r>
            <w:r>
              <w:rPr>
                <w:rFonts w:ascii="Times New Roman" w:hAnsi="Times New Roman" w:cs="Times New Roman"/>
                <w:color w:val="auto"/>
                <w:vertAlign w:val="subscript"/>
              </w:rPr>
              <w:t>2</w:t>
            </w:r>
            <w:r>
              <w:rPr>
                <w:rFonts w:ascii="Times New Roman" w:hAnsi="Times New Roman" w:cs="Times New Roman"/>
                <w:color w:val="auto"/>
              </w:rPr>
              <w:t>、PM</w:t>
            </w:r>
            <w:r>
              <w:rPr>
                <w:rFonts w:ascii="Times New Roman" w:hAnsi="Times New Roman" w:cs="Times New Roman"/>
                <w:color w:val="auto"/>
                <w:vertAlign w:val="subscript"/>
              </w:rPr>
              <w:t>10</w:t>
            </w:r>
            <w:r>
              <w:rPr>
                <w:rFonts w:hint="eastAsia" w:ascii="Times New Roman" w:hAnsi="Times New Roman" w:cs="Times New Roman"/>
                <w:color w:val="auto"/>
              </w:rPr>
              <w:t>、PM</w:t>
            </w:r>
            <w:r>
              <w:rPr>
                <w:rFonts w:hint="eastAsia" w:ascii="Times New Roman" w:hAnsi="Times New Roman" w:cs="Times New Roman"/>
                <w:color w:val="auto"/>
                <w:vertAlign w:val="subscript"/>
              </w:rPr>
              <w:t>2.5</w:t>
            </w:r>
            <w:r>
              <w:rPr>
                <w:rFonts w:hint="eastAsia" w:ascii="Times New Roman" w:hAnsi="Times New Roman" w:cs="Times New Roman"/>
                <w:color w:val="auto"/>
              </w:rPr>
              <w:t>、TSP、O</w:t>
            </w:r>
            <w:r>
              <w:rPr>
                <w:rFonts w:hint="eastAsia" w:ascii="Times New Roman" w:hAnsi="Times New Roman" w:cs="Times New Roman"/>
                <w:color w:val="auto"/>
                <w:vertAlign w:val="subscript"/>
              </w:rPr>
              <w:t>3</w:t>
            </w:r>
            <w:r>
              <w:rPr>
                <w:rFonts w:ascii="Times New Roman" w:hAnsi="Times New Roman" w:cs="Times New Roman"/>
                <w:color w:val="auto"/>
              </w:rPr>
              <w:t>执行《环境空气质量标准》（GB3095-2012）中二级标准；</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表4-1  环境空气质量标准</w:t>
            </w:r>
          </w:p>
          <w:tbl>
            <w:tblPr>
              <w:tblStyle w:val="18"/>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730"/>
              <w:gridCol w:w="1730"/>
              <w:gridCol w:w="1730"/>
              <w:gridCol w:w="1285"/>
              <w:gridCol w:w="217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污染物名称</w:t>
                  </w:r>
                </w:p>
              </w:tc>
              <w:tc>
                <w:tcPr>
                  <w:tcW w:w="1000"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取值时段</w:t>
                  </w:r>
                </w:p>
              </w:tc>
              <w:tc>
                <w:tcPr>
                  <w:tcW w:w="1000"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标准浓度限值（标准状态）</w:t>
                  </w:r>
                </w:p>
              </w:tc>
              <w:tc>
                <w:tcPr>
                  <w:tcW w:w="743"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单位</w:t>
                  </w:r>
                </w:p>
              </w:tc>
              <w:tc>
                <w:tcPr>
                  <w:tcW w:w="1255" w:type="pct"/>
                  <w:tcBorders>
                    <w:bottom w:val="single" w:color="auto" w:sz="12" w:space="0"/>
                  </w:tcBorders>
                  <w:vAlign w:val="center"/>
                </w:tcPr>
                <w:p>
                  <w:pPr>
                    <w:pStyle w:val="2"/>
                    <w:spacing w:after="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二氧化硫（SO</w:t>
                  </w:r>
                  <w:r>
                    <w:rPr>
                      <w:rFonts w:ascii="Times New Roman" w:hAnsi="Times New Roman" w:cs="Times New Roman"/>
                      <w:color w:val="auto"/>
                      <w:sz w:val="21"/>
                      <w:szCs w:val="21"/>
                      <w:vertAlign w:val="subscript"/>
                    </w:rPr>
                    <w:t>2</w:t>
                  </w:r>
                  <w:r>
                    <w:rPr>
                      <w:rFonts w:ascii="Times New Roman" w:hAnsi="Times New Roman" w:cs="Times New Roman"/>
                      <w:color w:val="auto"/>
                      <w:sz w:val="21"/>
                      <w:szCs w:val="21"/>
                    </w:rPr>
                    <w:t>）</w:t>
                  </w:r>
                </w:p>
              </w:tc>
              <w:tc>
                <w:tcPr>
                  <w:tcW w:w="1000"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年平均</w:t>
                  </w:r>
                </w:p>
              </w:tc>
              <w:tc>
                <w:tcPr>
                  <w:tcW w:w="1000" w:type="pc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60</w:t>
                  </w:r>
                </w:p>
              </w:tc>
              <w:tc>
                <w:tcPr>
                  <w:tcW w:w="743" w:type="pct"/>
                  <w:vMerge w:val="restart"/>
                  <w:tcBorders>
                    <w:top w:val="single" w:color="auto" w:sz="12" w:space="0"/>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eastAsia="宋体" w:cs="Times New Roman"/>
                      <w:color w:val="auto"/>
                      <w:sz w:val="21"/>
                      <w:szCs w:val="21"/>
                    </w:rPr>
                    <w:t>µ</w:t>
                  </w:r>
                  <w:r>
                    <w:rPr>
                      <w:rFonts w:ascii="Times New Roman" w:hAnsi="Times New Roman" w:cs="Times New Roman"/>
                      <w:color w:val="auto"/>
                      <w:sz w:val="21"/>
                      <w:szCs w:val="21"/>
                    </w:rPr>
                    <w:t>g/m</w:t>
                  </w:r>
                  <w:r>
                    <w:rPr>
                      <w:rFonts w:ascii="Times New Roman" w:hAnsi="Times New Roman" w:cs="Times New Roman"/>
                      <w:color w:val="auto"/>
                      <w:sz w:val="21"/>
                      <w:szCs w:val="21"/>
                      <w:vertAlign w:val="superscript"/>
                    </w:rPr>
                    <w:t>3</w:t>
                  </w:r>
                </w:p>
              </w:tc>
              <w:tc>
                <w:tcPr>
                  <w:tcW w:w="1255" w:type="pct"/>
                  <w:vMerge w:val="restart"/>
                  <w:tcBorders>
                    <w:top w:val="single" w:color="auto" w:sz="12" w:space="0"/>
                    <w:tl2br w:val="nil"/>
                    <w:tr2bl w:val="nil"/>
                  </w:tcBorders>
                  <w:vAlign w:val="center"/>
                </w:tcPr>
                <w:p>
                  <w:pPr>
                    <w:jc w:val="left"/>
                    <w:rPr>
                      <w:rFonts w:ascii="Times New Roman" w:hAnsi="Times New Roman" w:cs="Times New Roman"/>
                      <w:color w:val="auto"/>
                      <w:sz w:val="21"/>
                      <w:szCs w:val="21"/>
                    </w:rPr>
                  </w:pPr>
                  <w:r>
                    <w:rPr>
                      <w:rFonts w:ascii="Times New Roman" w:hAnsi="Times New Roman" w:cs="Times New Roman"/>
                      <w:color w:val="auto"/>
                      <w:sz w:val="21"/>
                      <w:szCs w:val="21"/>
                    </w:rPr>
                    <w:t>《环境空气质量标准》（GB3095-2012）中二级标准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日平均</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150</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一小时平均</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500</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二氧化氮（NO</w:t>
                  </w:r>
                  <w:r>
                    <w:rPr>
                      <w:rFonts w:ascii="Times New Roman" w:hAnsi="Times New Roman" w:cs="Times New Roman"/>
                      <w:color w:val="auto"/>
                      <w:sz w:val="21"/>
                      <w:szCs w:val="21"/>
                      <w:vertAlign w:val="subscript"/>
                    </w:rPr>
                    <w:t>2</w:t>
                  </w:r>
                  <w:r>
                    <w:rPr>
                      <w:rFonts w:ascii="Times New Roman" w:hAnsi="Times New Roman" w:cs="Times New Roman"/>
                      <w:color w:val="auto"/>
                      <w:sz w:val="21"/>
                      <w:szCs w:val="21"/>
                    </w:rPr>
                    <w:t>）</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年平均</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40</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日平均</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80</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一小时平均</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200</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PM</w:t>
                  </w:r>
                  <w:r>
                    <w:rPr>
                      <w:rFonts w:ascii="Times New Roman" w:hAnsi="Times New Roman" w:cs="Times New Roman"/>
                      <w:color w:val="auto"/>
                      <w:sz w:val="21"/>
                      <w:szCs w:val="21"/>
                      <w:vertAlign w:val="subscript"/>
                    </w:rPr>
                    <w:t>10</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年平均</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70</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日平均</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150</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PM</w:t>
                  </w:r>
                  <w:r>
                    <w:rPr>
                      <w:rFonts w:hint="eastAsia" w:ascii="Times New Roman" w:hAnsi="Times New Roman" w:cs="Times New Roman"/>
                      <w:color w:val="auto"/>
                      <w:sz w:val="21"/>
                      <w:szCs w:val="21"/>
                      <w:vertAlign w:val="subscript"/>
                    </w:rPr>
                    <w:t>2.5</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年平均</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35</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日平均</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75</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O</w:t>
                  </w:r>
                  <w:r>
                    <w:rPr>
                      <w:rFonts w:hint="eastAsia" w:ascii="Times New Roman" w:hAnsi="Times New Roman" w:cs="Times New Roman"/>
                      <w:color w:val="auto"/>
                      <w:sz w:val="21"/>
                      <w:szCs w:val="21"/>
                      <w:vertAlign w:val="subscript"/>
                    </w:rPr>
                    <w:t>3</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日平均（8h）</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160</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一小时平均</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200</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CO</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日平均（8h）</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一小时平均</w:t>
                  </w:r>
                </w:p>
              </w:tc>
              <w:tc>
                <w:tcPr>
                  <w:tcW w:w="1000" w:type="pct"/>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10</w:t>
                  </w:r>
                </w:p>
              </w:tc>
              <w:tc>
                <w:tcPr>
                  <w:tcW w:w="743"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c>
                <w:tcPr>
                  <w:tcW w:w="1255" w:type="pct"/>
                  <w:vMerge w:val="continue"/>
                  <w:tcBorders>
                    <w:tl2br w:val="nil"/>
                    <w:tr2bl w:val="nil"/>
                  </w:tcBorders>
                  <w:vAlign w:val="center"/>
                </w:tcPr>
                <w:p>
                  <w:pPr>
                    <w:pStyle w:val="2"/>
                    <w:spacing w:after="0" w:line="240" w:lineRule="auto"/>
                    <w:jc w:val="center"/>
                    <w:rPr>
                      <w:rFonts w:ascii="Times New Roman" w:hAnsi="Times New Roman" w:cs="Times New Roman"/>
                      <w:color w:val="auto"/>
                      <w:sz w:val="21"/>
                      <w:szCs w:val="21"/>
                    </w:rPr>
                  </w:pPr>
                </w:p>
              </w:tc>
            </w:tr>
          </w:tbl>
          <w:p>
            <w:pPr>
              <w:pStyle w:val="5"/>
              <w:numPr>
                <w:ilvl w:val="0"/>
                <w:numId w:val="7"/>
              </w:numPr>
              <w:ind w:firstLine="562"/>
              <w:outlineLvl w:val="1"/>
              <w:rPr>
                <w:rFonts w:cs="Times New Roman"/>
                <w:color w:val="auto"/>
              </w:rPr>
            </w:pPr>
            <w:r>
              <w:rPr>
                <w:rFonts w:cs="Times New Roman"/>
                <w:color w:val="auto"/>
              </w:rPr>
              <w:t>地表水环境质量</w:t>
            </w:r>
          </w:p>
          <w:p>
            <w:pPr>
              <w:ind w:firstLine="480" w:firstLineChars="200"/>
              <w:rPr>
                <w:rFonts w:ascii="Times New Roman" w:hAnsi="Times New Roman" w:cs="Times New Roman"/>
                <w:color w:val="auto"/>
              </w:rPr>
            </w:pPr>
            <w:r>
              <w:rPr>
                <w:rFonts w:ascii="Times New Roman" w:hAnsi="Times New Roman" w:cs="Times New Roman"/>
                <w:color w:val="auto"/>
              </w:rPr>
              <w:t>项目纳污水体为</w:t>
            </w:r>
            <w:r>
              <w:rPr>
                <w:rFonts w:hint="eastAsia" w:ascii="Times New Roman" w:hAnsi="Times New Roman" w:cs="Times New Roman"/>
                <w:color w:val="auto"/>
              </w:rPr>
              <w:t>北港河及</w:t>
            </w:r>
            <w:r>
              <w:rPr>
                <w:rFonts w:ascii="Times New Roman" w:hAnsi="Times New Roman" w:cs="Times New Roman"/>
                <w:color w:val="auto"/>
              </w:rPr>
              <w:t>南湖，水质</w:t>
            </w:r>
            <w:r>
              <w:rPr>
                <w:rFonts w:hint="eastAsia" w:ascii="Times New Roman" w:hAnsi="Times New Roman" w:cs="Times New Roman"/>
                <w:color w:val="auto"/>
              </w:rPr>
              <w:t>均</w:t>
            </w:r>
            <w:r>
              <w:rPr>
                <w:rFonts w:ascii="Times New Roman" w:hAnsi="Times New Roman" w:cs="Times New Roman"/>
                <w:color w:val="auto"/>
              </w:rPr>
              <w:t>执行《地表水环境质量标准》（GB3838-2002）Ⅲ类标准。</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表4-2  地表水质量评价标准   单位：mg/L，除pH外</w:t>
            </w:r>
          </w:p>
          <w:tbl>
            <w:tblPr>
              <w:tblStyle w:val="17"/>
              <w:tblW w:w="8650" w:type="dxa"/>
              <w:jc w:val="center"/>
              <w:tblBorders>
                <w:top w:val="single" w:color="000000" w:sz="12" w:space="0"/>
                <w:left w:val="none" w:color="auto" w:sz="0" w:space="0"/>
                <w:bottom w:val="single" w:color="000000" w:sz="12" w:space="0"/>
                <w:right w:val="none" w:color="auto" w:sz="0" w:space="0"/>
                <w:insideH w:val="single" w:color="000000" w:sz="12" w:space="0"/>
                <w:insideV w:val="single" w:color="000000" w:sz="2" w:space="0"/>
              </w:tblBorders>
              <w:tblLayout w:type="autofit"/>
              <w:tblCellMar>
                <w:top w:w="0" w:type="dxa"/>
                <w:left w:w="0" w:type="dxa"/>
                <w:bottom w:w="0" w:type="dxa"/>
                <w:right w:w="0" w:type="dxa"/>
              </w:tblCellMar>
            </w:tblPr>
            <w:tblGrid>
              <w:gridCol w:w="961"/>
              <w:gridCol w:w="767"/>
              <w:gridCol w:w="837"/>
              <w:gridCol w:w="842"/>
              <w:gridCol w:w="1029"/>
              <w:gridCol w:w="859"/>
              <w:gridCol w:w="898"/>
              <w:gridCol w:w="734"/>
              <w:gridCol w:w="1723"/>
            </w:tblGrid>
            <w:tr>
              <w:tblPrEx>
                <w:tblBorders>
                  <w:top w:val="single" w:color="000000" w:sz="12" w:space="0"/>
                  <w:left w:val="none" w:color="auto" w:sz="0" w:space="0"/>
                  <w:bottom w:val="single" w:color="000000" w:sz="12" w:space="0"/>
                  <w:right w:val="none" w:color="auto" w:sz="0" w:space="0"/>
                  <w:insideH w:val="single" w:color="000000" w:sz="12" w:space="0"/>
                  <w:insideV w:val="single" w:color="000000" w:sz="2" w:space="0"/>
                </w:tblBorders>
                <w:tblCellMar>
                  <w:top w:w="0" w:type="dxa"/>
                  <w:left w:w="0" w:type="dxa"/>
                  <w:bottom w:w="0" w:type="dxa"/>
                  <w:right w:w="0" w:type="dxa"/>
                </w:tblCellMar>
              </w:tblPrEx>
              <w:trPr>
                <w:trHeight w:val="397" w:hRule="atLeast"/>
                <w:jc w:val="center"/>
              </w:trPr>
              <w:tc>
                <w:tcPr>
                  <w:tcW w:w="961" w:type="dxa"/>
                  <w:tcBorders>
                    <w:tl2br w:val="nil"/>
                    <w:tr2bl w:val="nil"/>
                  </w:tcBorders>
                  <w:tcMar>
                    <w:top w:w="15" w:type="dxa"/>
                    <w:left w:w="15" w:type="dxa"/>
                    <w:bottom w:w="0" w:type="dxa"/>
                    <w:right w:w="15" w:type="dxa"/>
                  </w:tcMar>
                  <w:vAlign w:val="center"/>
                </w:tcPr>
                <w:p>
                  <w:pPr>
                    <w:autoSpaceDE w:val="0"/>
                    <w:autoSpaceDN w:val="0"/>
                    <w:adjustRightInd w:val="0"/>
                    <w:spacing w:line="240" w:lineRule="auto"/>
                    <w:jc w:val="center"/>
                    <w:rPr>
                      <w:rFonts w:ascii="Times New Roman" w:hAnsi="Times New Roman" w:cs="Times New Roman"/>
                      <w:b/>
                      <w:bCs/>
                      <w:color w:val="auto"/>
                      <w:kern w:val="24"/>
                      <w:sz w:val="21"/>
                      <w:szCs w:val="21"/>
                    </w:rPr>
                  </w:pPr>
                  <w:r>
                    <w:rPr>
                      <w:rFonts w:ascii="Times New Roman" w:hAnsi="Times New Roman" w:cs="Times New Roman"/>
                      <w:b/>
                      <w:bCs/>
                      <w:color w:val="auto"/>
                      <w:kern w:val="24"/>
                      <w:sz w:val="21"/>
                      <w:szCs w:val="21"/>
                    </w:rPr>
                    <w:t>项目</w:t>
                  </w:r>
                </w:p>
              </w:tc>
              <w:tc>
                <w:tcPr>
                  <w:tcW w:w="767" w:type="dxa"/>
                  <w:tcBorders>
                    <w:tl2br w:val="nil"/>
                    <w:tr2bl w:val="nil"/>
                  </w:tcBorders>
                  <w:vAlign w:val="center"/>
                </w:tcPr>
                <w:p>
                  <w:pPr>
                    <w:autoSpaceDE w:val="0"/>
                    <w:autoSpaceDN w:val="0"/>
                    <w:adjustRightInd w:val="0"/>
                    <w:spacing w:line="240" w:lineRule="auto"/>
                    <w:jc w:val="center"/>
                    <w:rPr>
                      <w:rFonts w:ascii="Times New Roman" w:hAnsi="Times New Roman" w:cs="Times New Roman"/>
                      <w:b/>
                      <w:bCs/>
                      <w:color w:val="auto"/>
                      <w:kern w:val="24"/>
                      <w:sz w:val="21"/>
                      <w:szCs w:val="21"/>
                    </w:rPr>
                  </w:pPr>
                  <w:r>
                    <w:rPr>
                      <w:rFonts w:ascii="Times New Roman" w:hAnsi="Times New Roman" w:cs="Times New Roman"/>
                      <w:b/>
                      <w:bCs/>
                      <w:color w:val="auto"/>
                      <w:kern w:val="24"/>
                      <w:sz w:val="21"/>
                      <w:szCs w:val="21"/>
                    </w:rPr>
                    <w:t>类别</w:t>
                  </w:r>
                </w:p>
              </w:tc>
              <w:tc>
                <w:tcPr>
                  <w:tcW w:w="837" w:type="dxa"/>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24"/>
                      <w:sz w:val="21"/>
                      <w:szCs w:val="21"/>
                    </w:rPr>
                    <w:t>pH</w:t>
                  </w:r>
                </w:p>
              </w:tc>
              <w:tc>
                <w:tcPr>
                  <w:tcW w:w="842" w:type="dxa"/>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24"/>
                      <w:sz w:val="21"/>
                      <w:szCs w:val="21"/>
                    </w:rPr>
                    <w:t>COD</w:t>
                  </w:r>
                </w:p>
              </w:tc>
              <w:tc>
                <w:tcPr>
                  <w:tcW w:w="1029" w:type="dxa"/>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24"/>
                      <w:sz w:val="21"/>
                      <w:szCs w:val="21"/>
                    </w:rPr>
                    <w:t>BOD</w:t>
                  </w:r>
                  <w:r>
                    <w:rPr>
                      <w:rFonts w:ascii="Times New Roman" w:hAnsi="Times New Roman" w:cs="Times New Roman"/>
                      <w:color w:val="auto"/>
                      <w:kern w:val="24"/>
                      <w:sz w:val="21"/>
                      <w:szCs w:val="21"/>
                      <w:vertAlign w:val="subscript"/>
                    </w:rPr>
                    <w:t>5</w:t>
                  </w:r>
                </w:p>
              </w:tc>
              <w:tc>
                <w:tcPr>
                  <w:tcW w:w="859" w:type="dxa"/>
                  <w:tcBorders>
                    <w:tl2br w:val="nil"/>
                    <w:tr2bl w:val="nil"/>
                  </w:tcBorders>
                  <w:vAlign w:val="center"/>
                </w:tcPr>
                <w:p>
                  <w:pPr>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sz w:val="21"/>
                      <w:szCs w:val="21"/>
                    </w:rPr>
                    <w:t>NH</w:t>
                  </w:r>
                  <w:r>
                    <w:rPr>
                      <w:rFonts w:ascii="Times New Roman" w:hAnsi="Times New Roman" w:cs="Times New Roman"/>
                      <w:color w:val="auto"/>
                      <w:sz w:val="21"/>
                      <w:szCs w:val="21"/>
                      <w:vertAlign w:val="subscript"/>
                    </w:rPr>
                    <w:t>3</w:t>
                  </w:r>
                  <w:r>
                    <w:rPr>
                      <w:rFonts w:ascii="Times New Roman" w:hAnsi="Times New Roman" w:cs="Times New Roman"/>
                      <w:color w:val="auto"/>
                      <w:sz w:val="21"/>
                      <w:szCs w:val="21"/>
                    </w:rPr>
                    <w:t>-N</w:t>
                  </w:r>
                </w:p>
              </w:tc>
              <w:tc>
                <w:tcPr>
                  <w:tcW w:w="898" w:type="dxa"/>
                  <w:tcBorders>
                    <w:tl2br w:val="nil"/>
                    <w:tr2bl w:val="nil"/>
                  </w:tcBorders>
                  <w:vAlign w:val="center"/>
                </w:tcPr>
                <w:p>
                  <w:pPr>
                    <w:widowControl/>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0"/>
                      <w:sz w:val="21"/>
                      <w:szCs w:val="21"/>
                    </w:rPr>
                    <w:t>TP</w:t>
                  </w:r>
                </w:p>
              </w:tc>
              <w:tc>
                <w:tcPr>
                  <w:tcW w:w="734" w:type="dxa"/>
                  <w:tcBorders>
                    <w:tl2br w:val="nil"/>
                    <w:tr2bl w:val="nil"/>
                  </w:tcBorders>
                  <w:vAlign w:val="center"/>
                </w:tcPr>
                <w:p>
                  <w:pPr>
                    <w:widowControl/>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0"/>
                      <w:sz w:val="21"/>
                      <w:szCs w:val="21"/>
                    </w:rPr>
                    <w:t>TN</w:t>
                  </w:r>
                </w:p>
              </w:tc>
              <w:tc>
                <w:tcPr>
                  <w:tcW w:w="1723" w:type="dxa"/>
                  <w:tcBorders>
                    <w:tl2br w:val="nil"/>
                    <w:tr2bl w:val="nil"/>
                  </w:tcBorders>
                  <w:vAlign w:val="center"/>
                </w:tcPr>
                <w:p>
                  <w:pPr>
                    <w:autoSpaceDE w:val="0"/>
                    <w:autoSpaceDN w:val="0"/>
                    <w:adjustRightInd w:val="0"/>
                    <w:spacing w:line="240" w:lineRule="auto"/>
                    <w:jc w:val="center"/>
                    <w:rPr>
                      <w:rFonts w:ascii="Times New Roman" w:hAnsi="Times New Roman" w:eastAsia="宋体" w:cs="Times New Roman"/>
                      <w:color w:val="auto"/>
                      <w:kern w:val="24"/>
                      <w:sz w:val="21"/>
                      <w:szCs w:val="21"/>
                    </w:rPr>
                  </w:pPr>
                  <w:r>
                    <w:rPr>
                      <w:rFonts w:ascii="Times New Roman" w:hAnsi="Times New Roman" w:cs="Times New Roman"/>
                      <w:color w:val="auto"/>
                      <w:kern w:val="24"/>
                      <w:sz w:val="21"/>
                      <w:szCs w:val="21"/>
                    </w:rPr>
                    <w:t>粪大肠菌群（个/L）</w:t>
                  </w:r>
                </w:p>
              </w:tc>
            </w:tr>
            <w:tr>
              <w:tblPrEx>
                <w:tblBorders>
                  <w:top w:val="single" w:color="000000" w:sz="12" w:space="0"/>
                  <w:left w:val="none" w:color="auto" w:sz="0" w:space="0"/>
                  <w:bottom w:val="single" w:color="000000" w:sz="12" w:space="0"/>
                  <w:right w:val="none" w:color="auto" w:sz="0" w:space="0"/>
                  <w:insideH w:val="single" w:color="000000" w:sz="12" w:space="0"/>
                  <w:insideV w:val="single" w:color="000000" w:sz="2" w:space="0"/>
                </w:tblBorders>
                <w:tblCellMar>
                  <w:top w:w="0" w:type="dxa"/>
                  <w:left w:w="0" w:type="dxa"/>
                  <w:bottom w:w="0" w:type="dxa"/>
                  <w:right w:w="0" w:type="dxa"/>
                </w:tblCellMar>
              </w:tblPrEx>
              <w:trPr>
                <w:trHeight w:val="397" w:hRule="atLeast"/>
                <w:jc w:val="center"/>
              </w:trPr>
              <w:tc>
                <w:tcPr>
                  <w:tcW w:w="961" w:type="dxa"/>
                  <w:tcBorders>
                    <w:tl2br w:val="nil"/>
                    <w:tr2bl w:val="nil"/>
                  </w:tcBorders>
                  <w:tcMar>
                    <w:top w:w="15" w:type="dxa"/>
                    <w:left w:w="15" w:type="dxa"/>
                    <w:bottom w:w="0" w:type="dxa"/>
                    <w:right w:w="15" w:type="dxa"/>
                  </w:tcMar>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24"/>
                      <w:sz w:val="21"/>
                      <w:szCs w:val="21"/>
                    </w:rPr>
                    <w:t>标准值</w:t>
                  </w:r>
                </w:p>
              </w:tc>
              <w:tc>
                <w:tcPr>
                  <w:tcW w:w="767" w:type="dxa"/>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sz w:val="21"/>
                      <w:szCs w:val="21"/>
                    </w:rPr>
                    <w:t>Ⅲ</w:t>
                  </w:r>
                </w:p>
              </w:tc>
              <w:tc>
                <w:tcPr>
                  <w:tcW w:w="837" w:type="dxa"/>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24"/>
                      <w:sz w:val="21"/>
                      <w:szCs w:val="21"/>
                    </w:rPr>
                    <w:t>6～9</w:t>
                  </w:r>
                </w:p>
              </w:tc>
              <w:tc>
                <w:tcPr>
                  <w:tcW w:w="842" w:type="dxa"/>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24"/>
                      <w:sz w:val="21"/>
                      <w:szCs w:val="21"/>
                    </w:rPr>
                    <w:t>≤20</w:t>
                  </w:r>
                </w:p>
              </w:tc>
              <w:tc>
                <w:tcPr>
                  <w:tcW w:w="1029" w:type="dxa"/>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24"/>
                      <w:sz w:val="21"/>
                      <w:szCs w:val="21"/>
                    </w:rPr>
                    <w:t>≤4</w:t>
                  </w:r>
                </w:p>
              </w:tc>
              <w:tc>
                <w:tcPr>
                  <w:tcW w:w="859" w:type="dxa"/>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24"/>
                      <w:sz w:val="21"/>
                      <w:szCs w:val="21"/>
                    </w:rPr>
                    <w:t>≤1.0</w:t>
                  </w:r>
                </w:p>
              </w:tc>
              <w:tc>
                <w:tcPr>
                  <w:tcW w:w="898" w:type="dxa"/>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24"/>
                      <w:sz w:val="21"/>
                      <w:szCs w:val="21"/>
                    </w:rPr>
                    <w:t>≤0.05</w:t>
                  </w:r>
                </w:p>
              </w:tc>
              <w:tc>
                <w:tcPr>
                  <w:tcW w:w="734" w:type="dxa"/>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24"/>
                      <w:sz w:val="21"/>
                      <w:szCs w:val="21"/>
                    </w:rPr>
                    <w:t>≤1.0</w:t>
                  </w:r>
                </w:p>
              </w:tc>
              <w:tc>
                <w:tcPr>
                  <w:tcW w:w="1723" w:type="dxa"/>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kern w:val="24"/>
                      <w:sz w:val="21"/>
                      <w:szCs w:val="21"/>
                    </w:rPr>
                  </w:pPr>
                  <w:r>
                    <w:rPr>
                      <w:rFonts w:ascii="Times New Roman" w:hAnsi="Times New Roman" w:cs="Times New Roman"/>
                      <w:color w:val="auto"/>
                      <w:kern w:val="24"/>
                      <w:sz w:val="21"/>
                      <w:szCs w:val="21"/>
                    </w:rPr>
                    <w:t>≤10000</w:t>
                  </w:r>
                </w:p>
              </w:tc>
            </w:tr>
          </w:tbl>
          <w:p>
            <w:pPr>
              <w:pStyle w:val="5"/>
              <w:ind w:firstLine="562"/>
              <w:outlineLvl w:val="1"/>
              <w:rPr>
                <w:rFonts w:cs="Times New Roman"/>
                <w:color w:val="auto"/>
              </w:rPr>
            </w:pPr>
            <w:r>
              <w:rPr>
                <w:rFonts w:cs="Times New Roman"/>
                <w:color w:val="auto"/>
              </w:rPr>
              <w:t>3、声环境质量</w:t>
            </w:r>
          </w:p>
          <w:p>
            <w:pPr>
              <w:ind w:firstLine="480" w:firstLineChars="200"/>
              <w:rPr>
                <w:rFonts w:ascii="Times New Roman" w:hAnsi="Times New Roman" w:cs="Times New Roman"/>
                <w:color w:val="auto"/>
              </w:rPr>
            </w:pPr>
            <w:r>
              <w:rPr>
                <w:rFonts w:ascii="Times New Roman" w:hAnsi="Times New Roman" w:cs="Times New Roman"/>
                <w:color w:val="auto"/>
              </w:rPr>
              <w:t>项目所在地执行《声环境质量标准》（GB3096-2008）</w:t>
            </w:r>
            <w:r>
              <w:rPr>
                <w:rFonts w:hint="eastAsia" w:ascii="Times New Roman" w:hAnsi="Times New Roman" w:cs="Times New Roman"/>
                <w:color w:val="auto"/>
              </w:rPr>
              <w:t>2</w:t>
            </w:r>
            <w:r>
              <w:rPr>
                <w:rFonts w:ascii="Times New Roman" w:hAnsi="Times New Roman" w:cs="Times New Roman"/>
                <w:color w:val="auto"/>
              </w:rPr>
              <w:t>类标准，执行标准值见表4-3。</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表4-3  声环境质量标准限值</w:t>
            </w:r>
          </w:p>
          <w:tbl>
            <w:tblPr>
              <w:tblStyle w:val="17"/>
              <w:tblW w:w="8640" w:type="dxa"/>
              <w:jc w:val="center"/>
              <w:tblBorders>
                <w:top w:val="single" w:color="000000" w:sz="12" w:space="0"/>
                <w:left w:val="none" w:color="auto" w:sz="0" w:space="0"/>
                <w:bottom w:val="single" w:color="000000" w:sz="12" w:space="0"/>
                <w:right w:val="none" w:color="auto" w:sz="0" w:space="0"/>
                <w:insideH w:val="single" w:color="000000" w:sz="12" w:space="0"/>
                <w:insideV w:val="single" w:color="000000" w:sz="4" w:space="0"/>
              </w:tblBorders>
              <w:tblLayout w:type="autofit"/>
              <w:tblCellMar>
                <w:top w:w="0" w:type="dxa"/>
                <w:left w:w="108" w:type="dxa"/>
                <w:bottom w:w="0" w:type="dxa"/>
                <w:right w:w="108" w:type="dxa"/>
              </w:tblCellMar>
            </w:tblPr>
            <w:tblGrid>
              <w:gridCol w:w="3312"/>
              <w:gridCol w:w="2298"/>
              <w:gridCol w:w="1354"/>
              <w:gridCol w:w="1676"/>
            </w:tblGrid>
            <w:tr>
              <w:tblPrEx>
                <w:tblBorders>
                  <w:top w:val="single" w:color="000000" w:sz="12" w:space="0"/>
                  <w:left w:val="none" w:color="auto" w:sz="0" w:space="0"/>
                  <w:bottom w:val="single" w:color="000000" w:sz="12" w:space="0"/>
                  <w:right w:val="none" w:color="auto" w:sz="0" w:space="0"/>
                  <w:insideH w:val="single" w:color="000000" w:sz="12" w:space="0"/>
                  <w:insideV w:val="single" w:color="000000" w:sz="4" w:space="0"/>
                </w:tblBorders>
                <w:tblCellMar>
                  <w:top w:w="0" w:type="dxa"/>
                  <w:left w:w="108" w:type="dxa"/>
                  <w:bottom w:w="0" w:type="dxa"/>
                  <w:right w:w="108" w:type="dxa"/>
                </w:tblCellMar>
              </w:tblPrEx>
              <w:trPr>
                <w:trHeight w:val="397" w:hRule="atLeast"/>
                <w:jc w:val="center"/>
              </w:trPr>
              <w:tc>
                <w:tcPr>
                  <w:tcW w:w="3312" w:type="dxa"/>
                  <w:tcBorders>
                    <w:tl2br w:val="nil"/>
                    <w:tr2bl w:val="nil"/>
                  </w:tcBorders>
                  <w:vAlign w:val="center"/>
                </w:tcPr>
                <w:p>
                  <w:pPr>
                    <w:widowControl/>
                    <w:spacing w:line="240" w:lineRule="auto"/>
                    <w:jc w:val="center"/>
                    <w:rPr>
                      <w:rFonts w:ascii="Times New Roman" w:hAnsi="Times New Roman" w:eastAsia="宋体" w:cs="Times New Roman"/>
                      <w:b/>
                      <w:bCs/>
                      <w:color w:val="auto"/>
                      <w:kern w:val="0"/>
                      <w:sz w:val="21"/>
                      <w:szCs w:val="21"/>
                    </w:rPr>
                  </w:pPr>
                  <w:r>
                    <w:rPr>
                      <w:rFonts w:ascii="Times New Roman" w:hAnsi="Times New Roman" w:eastAsia="宋体" w:cs="Times New Roman"/>
                      <w:b/>
                      <w:bCs/>
                      <w:color w:val="auto"/>
                      <w:kern w:val="0"/>
                      <w:sz w:val="21"/>
                      <w:szCs w:val="21"/>
                    </w:rPr>
                    <w:t>类别</w:t>
                  </w:r>
                </w:p>
              </w:tc>
              <w:tc>
                <w:tcPr>
                  <w:tcW w:w="2298" w:type="dxa"/>
                  <w:tcBorders>
                    <w:tl2br w:val="nil"/>
                    <w:tr2bl w:val="nil"/>
                  </w:tcBorders>
                  <w:vAlign w:val="center"/>
                </w:tcPr>
                <w:p>
                  <w:pPr>
                    <w:widowControl/>
                    <w:spacing w:line="240" w:lineRule="auto"/>
                    <w:jc w:val="center"/>
                    <w:rPr>
                      <w:rFonts w:ascii="Times New Roman" w:hAnsi="Times New Roman" w:eastAsia="宋体" w:cs="Times New Roman"/>
                      <w:b/>
                      <w:bCs/>
                      <w:color w:val="auto"/>
                      <w:kern w:val="0"/>
                      <w:sz w:val="21"/>
                      <w:szCs w:val="21"/>
                    </w:rPr>
                  </w:pPr>
                  <w:r>
                    <w:rPr>
                      <w:rFonts w:ascii="Times New Roman" w:hAnsi="Times New Roman" w:eastAsia="宋体" w:cs="Times New Roman"/>
                      <w:b/>
                      <w:bCs/>
                      <w:color w:val="auto"/>
                      <w:kern w:val="0"/>
                      <w:sz w:val="21"/>
                      <w:szCs w:val="21"/>
                    </w:rPr>
                    <w:t>等效声级Leq</w:t>
                  </w:r>
                </w:p>
              </w:tc>
              <w:tc>
                <w:tcPr>
                  <w:tcW w:w="1354" w:type="dxa"/>
                  <w:tcBorders>
                    <w:tl2br w:val="nil"/>
                    <w:tr2bl w:val="nil"/>
                  </w:tcBorders>
                  <w:vAlign w:val="center"/>
                </w:tcPr>
                <w:p>
                  <w:pPr>
                    <w:widowControl/>
                    <w:spacing w:line="240" w:lineRule="auto"/>
                    <w:jc w:val="center"/>
                    <w:rPr>
                      <w:rFonts w:ascii="Times New Roman" w:hAnsi="Times New Roman" w:eastAsia="宋体" w:cs="Times New Roman"/>
                      <w:b/>
                      <w:bCs/>
                      <w:color w:val="auto"/>
                      <w:kern w:val="0"/>
                      <w:sz w:val="21"/>
                      <w:szCs w:val="21"/>
                    </w:rPr>
                  </w:pPr>
                  <w:r>
                    <w:rPr>
                      <w:rFonts w:ascii="Times New Roman" w:hAnsi="Times New Roman" w:eastAsia="宋体" w:cs="Times New Roman"/>
                      <w:b/>
                      <w:bCs/>
                      <w:color w:val="auto"/>
                      <w:kern w:val="0"/>
                      <w:sz w:val="21"/>
                      <w:szCs w:val="21"/>
                    </w:rPr>
                    <w:t>昼间</w:t>
                  </w:r>
                </w:p>
              </w:tc>
              <w:tc>
                <w:tcPr>
                  <w:tcW w:w="1676" w:type="dxa"/>
                  <w:tcBorders>
                    <w:tl2br w:val="nil"/>
                    <w:tr2bl w:val="nil"/>
                  </w:tcBorders>
                  <w:vAlign w:val="center"/>
                </w:tcPr>
                <w:p>
                  <w:pPr>
                    <w:widowControl/>
                    <w:spacing w:line="240" w:lineRule="auto"/>
                    <w:jc w:val="center"/>
                    <w:rPr>
                      <w:rFonts w:ascii="Times New Roman" w:hAnsi="Times New Roman" w:eastAsia="宋体" w:cs="Times New Roman"/>
                      <w:b/>
                      <w:bCs/>
                      <w:color w:val="auto"/>
                      <w:kern w:val="0"/>
                      <w:sz w:val="21"/>
                      <w:szCs w:val="21"/>
                    </w:rPr>
                  </w:pPr>
                  <w:r>
                    <w:rPr>
                      <w:rFonts w:ascii="Times New Roman" w:hAnsi="Times New Roman" w:eastAsia="宋体" w:cs="Times New Roman"/>
                      <w:b/>
                      <w:bCs/>
                      <w:color w:val="auto"/>
                      <w:kern w:val="0"/>
                      <w:sz w:val="21"/>
                      <w:szCs w:val="21"/>
                    </w:rPr>
                    <w:t>夜间</w:t>
                  </w:r>
                </w:p>
              </w:tc>
            </w:tr>
            <w:tr>
              <w:tblPrEx>
                <w:tblBorders>
                  <w:top w:val="single" w:color="000000" w:sz="12" w:space="0"/>
                  <w:left w:val="none" w:color="auto" w:sz="0" w:space="0"/>
                  <w:bottom w:val="single" w:color="000000" w:sz="12" w:space="0"/>
                  <w:right w:val="none" w:color="auto" w:sz="0" w:space="0"/>
                  <w:insideH w:val="single" w:color="000000" w:sz="12" w:space="0"/>
                  <w:insideV w:val="single" w:color="000000" w:sz="4" w:space="0"/>
                </w:tblBorders>
                <w:tblCellMar>
                  <w:top w:w="0" w:type="dxa"/>
                  <w:left w:w="108" w:type="dxa"/>
                  <w:bottom w:w="0" w:type="dxa"/>
                  <w:right w:w="108" w:type="dxa"/>
                </w:tblCellMar>
              </w:tblPrEx>
              <w:trPr>
                <w:trHeight w:val="397" w:hRule="atLeast"/>
                <w:jc w:val="center"/>
              </w:trPr>
              <w:tc>
                <w:tcPr>
                  <w:tcW w:w="3312" w:type="dxa"/>
                  <w:tcBorders>
                    <w:tl2br w:val="nil"/>
                    <w:tr2bl w:val="nil"/>
                  </w:tcBorders>
                  <w:vAlign w:val="center"/>
                </w:tcPr>
                <w:p>
                  <w:pPr>
                    <w:widowControl/>
                    <w:spacing w:line="240" w:lineRule="auto"/>
                    <w:jc w:val="center"/>
                    <w:rPr>
                      <w:rFonts w:ascii="Times New Roman" w:hAnsi="Times New Roman" w:eastAsia="宋体" w:cs="Times New Roman"/>
                      <w:color w:val="auto"/>
                      <w:kern w:val="0"/>
                      <w:sz w:val="21"/>
                      <w:szCs w:val="21"/>
                    </w:rPr>
                  </w:pPr>
                  <w:r>
                    <w:rPr>
                      <w:rFonts w:ascii="Times New Roman" w:hAnsi="Times New Roman" w:eastAsia="宋体" w:cs="Times New Roman"/>
                      <w:color w:val="auto"/>
                      <w:kern w:val="0"/>
                      <w:sz w:val="21"/>
                      <w:szCs w:val="21"/>
                    </w:rPr>
                    <w:t>《声环境质量标准》</w:t>
                  </w:r>
                  <w:r>
                    <w:rPr>
                      <w:rFonts w:hint="eastAsia" w:ascii="Times New Roman" w:hAnsi="Times New Roman" w:cs="Times New Roman"/>
                      <w:color w:val="auto"/>
                      <w:kern w:val="0"/>
                      <w:sz w:val="21"/>
                      <w:szCs w:val="21"/>
                    </w:rPr>
                    <w:t>2</w:t>
                  </w:r>
                  <w:r>
                    <w:rPr>
                      <w:rFonts w:ascii="Times New Roman" w:hAnsi="Times New Roman" w:eastAsia="宋体" w:cs="Times New Roman"/>
                      <w:color w:val="auto"/>
                      <w:kern w:val="0"/>
                      <w:sz w:val="21"/>
                      <w:szCs w:val="21"/>
                    </w:rPr>
                    <w:t>类</w:t>
                  </w:r>
                </w:p>
              </w:tc>
              <w:tc>
                <w:tcPr>
                  <w:tcW w:w="2298" w:type="dxa"/>
                  <w:tcBorders>
                    <w:tl2br w:val="nil"/>
                    <w:tr2bl w:val="nil"/>
                  </w:tcBorders>
                  <w:vAlign w:val="center"/>
                </w:tcPr>
                <w:p>
                  <w:pPr>
                    <w:widowControl/>
                    <w:spacing w:line="240" w:lineRule="auto"/>
                    <w:jc w:val="center"/>
                    <w:rPr>
                      <w:rFonts w:ascii="Times New Roman" w:hAnsi="Times New Roman" w:eastAsia="宋体" w:cs="Times New Roman"/>
                      <w:color w:val="auto"/>
                      <w:kern w:val="0"/>
                      <w:sz w:val="21"/>
                      <w:szCs w:val="21"/>
                    </w:rPr>
                  </w:pPr>
                  <w:r>
                    <w:rPr>
                      <w:rFonts w:ascii="Times New Roman" w:hAnsi="Times New Roman" w:eastAsia="宋体" w:cs="Times New Roman"/>
                      <w:color w:val="auto"/>
                      <w:kern w:val="0"/>
                      <w:sz w:val="21"/>
                      <w:szCs w:val="21"/>
                    </w:rPr>
                    <w:t>dB（A）</w:t>
                  </w:r>
                </w:p>
              </w:tc>
              <w:tc>
                <w:tcPr>
                  <w:tcW w:w="1354" w:type="dxa"/>
                  <w:tcBorders>
                    <w:tl2br w:val="nil"/>
                    <w:tr2bl w:val="nil"/>
                  </w:tcBorders>
                  <w:vAlign w:val="center"/>
                </w:tcPr>
                <w:p>
                  <w:pPr>
                    <w:widowControl/>
                    <w:spacing w:line="240" w:lineRule="auto"/>
                    <w:jc w:val="center"/>
                    <w:rPr>
                      <w:rFonts w:ascii="Times New Roman" w:hAnsi="Times New Roman" w:eastAsia="宋体" w:cs="Times New Roman"/>
                      <w:color w:val="auto"/>
                      <w:kern w:val="0"/>
                      <w:sz w:val="21"/>
                      <w:szCs w:val="21"/>
                    </w:rPr>
                  </w:pPr>
                  <w:r>
                    <w:rPr>
                      <w:rFonts w:ascii="Times New Roman" w:hAnsi="Times New Roman" w:eastAsia="宋体" w:cs="Times New Roman"/>
                      <w:color w:val="auto"/>
                      <w:kern w:val="0"/>
                      <w:sz w:val="21"/>
                      <w:szCs w:val="21"/>
                    </w:rPr>
                    <w:t>6</w:t>
                  </w:r>
                  <w:r>
                    <w:rPr>
                      <w:rFonts w:hint="eastAsia" w:ascii="Times New Roman" w:hAnsi="Times New Roman" w:cs="Times New Roman"/>
                      <w:color w:val="auto"/>
                      <w:kern w:val="0"/>
                      <w:sz w:val="21"/>
                      <w:szCs w:val="21"/>
                    </w:rPr>
                    <w:t>0</w:t>
                  </w:r>
                </w:p>
              </w:tc>
              <w:tc>
                <w:tcPr>
                  <w:tcW w:w="1676" w:type="dxa"/>
                  <w:tcBorders>
                    <w:tl2br w:val="nil"/>
                    <w:tr2bl w:val="nil"/>
                  </w:tcBorders>
                  <w:vAlign w:val="center"/>
                </w:tcPr>
                <w:p>
                  <w:pPr>
                    <w:widowControl/>
                    <w:spacing w:line="240" w:lineRule="auto"/>
                    <w:jc w:val="center"/>
                    <w:rPr>
                      <w:rFonts w:ascii="Times New Roman" w:hAnsi="Times New Roman" w:eastAsia="宋体" w:cs="Times New Roman"/>
                      <w:color w:val="auto"/>
                      <w:kern w:val="0"/>
                      <w:sz w:val="21"/>
                      <w:szCs w:val="21"/>
                    </w:rPr>
                  </w:pPr>
                  <w:r>
                    <w:rPr>
                      <w:rFonts w:ascii="Times New Roman" w:hAnsi="Times New Roman" w:eastAsia="宋体" w:cs="Times New Roman"/>
                      <w:color w:val="auto"/>
                      <w:kern w:val="0"/>
                      <w:sz w:val="21"/>
                      <w:szCs w:val="21"/>
                    </w:rPr>
                    <w:t>5</w:t>
                  </w:r>
                  <w:r>
                    <w:rPr>
                      <w:rFonts w:hint="eastAsia" w:ascii="Times New Roman" w:hAnsi="Times New Roman" w:cs="Times New Roman"/>
                      <w:color w:val="auto"/>
                      <w:kern w:val="0"/>
                      <w:sz w:val="21"/>
                      <w:szCs w:val="21"/>
                    </w:rPr>
                    <w:t>0</w:t>
                  </w:r>
                </w:p>
              </w:tc>
            </w:tr>
          </w:tbl>
          <w:p>
            <w:pPr>
              <w:pStyle w:val="2"/>
              <w:rPr>
                <w:rFonts w:ascii="Times New Roman" w:hAnsi="Times New Roman" w:cs="Times New Roman"/>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22" w:type="dxa"/>
            <w:tcBorders>
              <w:tl2br w:val="nil"/>
              <w:tr2bl w:val="nil"/>
            </w:tcBorders>
            <w:vAlign w:val="center"/>
          </w:tcPr>
          <w:p>
            <w:pPr>
              <w:jc w:val="center"/>
              <w:rPr>
                <w:rFonts w:ascii="Times New Roman" w:hAnsi="Times New Roman" w:cs="Times New Roman"/>
                <w:color w:val="auto"/>
              </w:rPr>
            </w:pPr>
            <w:r>
              <w:rPr>
                <w:rFonts w:ascii="Times New Roman" w:hAnsi="Times New Roman" w:cs="Times New Roman"/>
                <w:color w:val="auto"/>
              </w:rPr>
              <w:t>污染物排放标准</w:t>
            </w:r>
          </w:p>
        </w:tc>
        <w:tc>
          <w:tcPr>
            <w:tcW w:w="8866" w:type="dxa"/>
            <w:tcBorders>
              <w:tl2br w:val="nil"/>
              <w:tr2bl w:val="nil"/>
            </w:tcBorders>
          </w:tcPr>
          <w:p>
            <w:pPr>
              <w:pStyle w:val="5"/>
              <w:numPr>
                <w:ilvl w:val="0"/>
                <w:numId w:val="8"/>
              </w:numPr>
              <w:ind w:firstLine="562"/>
              <w:outlineLvl w:val="1"/>
              <w:rPr>
                <w:rFonts w:cs="Times New Roman"/>
                <w:color w:val="auto"/>
              </w:rPr>
            </w:pPr>
            <w:r>
              <w:rPr>
                <w:rFonts w:cs="Times New Roman"/>
                <w:color w:val="auto"/>
              </w:rPr>
              <w:t>废水</w:t>
            </w:r>
          </w:p>
          <w:p>
            <w:pPr>
              <w:ind w:firstLine="480" w:firstLineChars="200"/>
              <w:rPr>
                <w:rFonts w:ascii="Times New Roman" w:hAnsi="Times New Roman" w:cs="Times New Roman"/>
                <w:color w:val="auto"/>
              </w:rPr>
            </w:pPr>
            <w:r>
              <w:rPr>
                <w:rFonts w:ascii="Times New Roman" w:hAnsi="Times New Roman" w:cs="Times New Roman"/>
                <w:color w:val="auto"/>
              </w:rPr>
              <w:t>项目</w:t>
            </w:r>
            <w:r>
              <w:rPr>
                <w:rFonts w:hint="eastAsia" w:ascii="Times New Roman" w:hAnsi="Times New Roman" w:cs="Times New Roman"/>
                <w:color w:val="auto"/>
              </w:rPr>
              <w:t>营运</w:t>
            </w:r>
            <w:r>
              <w:rPr>
                <w:rFonts w:ascii="Times New Roman" w:hAnsi="Times New Roman" w:cs="Times New Roman"/>
                <w:color w:val="auto"/>
              </w:rPr>
              <w:t>期产生的污水包括</w:t>
            </w:r>
            <w:r>
              <w:rPr>
                <w:rFonts w:hint="eastAsia" w:ascii="Times New Roman" w:hAnsi="Times New Roman" w:cs="Times New Roman"/>
                <w:color w:val="auto"/>
              </w:rPr>
              <w:t>锅炉废水</w:t>
            </w:r>
            <w:r>
              <w:rPr>
                <w:rFonts w:ascii="Times New Roman" w:hAnsi="Times New Roman" w:cs="Times New Roman"/>
                <w:color w:val="auto"/>
              </w:rPr>
              <w:t>。</w:t>
            </w:r>
          </w:p>
          <w:p>
            <w:pPr>
              <w:ind w:firstLine="480" w:firstLineChars="200"/>
              <w:rPr>
                <w:rFonts w:ascii="Times New Roman" w:hAnsi="Times New Roman" w:cs="Times New Roman"/>
                <w:color w:val="auto"/>
                <w:u w:val="single"/>
              </w:rPr>
            </w:pPr>
            <w:r>
              <w:rPr>
                <w:rFonts w:hint="eastAsia" w:ascii="Times New Roman" w:hAnsi="Times New Roman" w:cs="Times New Roman"/>
                <w:color w:val="auto"/>
                <w:u w:val="single"/>
              </w:rPr>
              <w:t>锅炉废</w:t>
            </w:r>
            <w:r>
              <w:rPr>
                <w:rFonts w:ascii="Times New Roman" w:hAnsi="Times New Roman" w:cs="Times New Roman"/>
                <w:color w:val="auto"/>
                <w:u w:val="single"/>
              </w:rPr>
              <w:t>水经</w:t>
            </w:r>
            <w:r>
              <w:rPr>
                <w:rFonts w:hint="eastAsia" w:ascii="Times New Roman" w:hAnsi="Times New Roman" w:cs="Times New Roman"/>
                <w:color w:val="auto"/>
                <w:u w:val="single"/>
              </w:rPr>
              <w:t>污水处理站</w:t>
            </w:r>
            <w:r>
              <w:rPr>
                <w:rFonts w:ascii="Times New Roman" w:hAnsi="Times New Roman" w:cs="Times New Roman"/>
                <w:color w:val="auto"/>
                <w:u w:val="single"/>
              </w:rPr>
              <w:t>预处理后经由市政管网进入罗家坡污水处理厂处理</w:t>
            </w:r>
            <w:r>
              <w:rPr>
                <w:rFonts w:hint="eastAsia" w:ascii="Times New Roman" w:hAnsi="Times New Roman" w:cs="Times New Roman"/>
                <w:color w:val="auto"/>
                <w:u w:val="single"/>
              </w:rPr>
              <w:t>达标后经由北港河排入南湖</w:t>
            </w:r>
            <w:r>
              <w:rPr>
                <w:rFonts w:ascii="Times New Roman" w:hAnsi="Times New Roman" w:cs="Times New Roman"/>
                <w:color w:val="auto"/>
                <w:u w:val="single"/>
              </w:rPr>
              <w:t>，故</w:t>
            </w:r>
            <w:r>
              <w:rPr>
                <w:rFonts w:hint="eastAsia" w:ascii="Times New Roman" w:hAnsi="Times New Roman" w:cs="Times New Roman"/>
                <w:color w:val="auto"/>
                <w:u w:val="single"/>
              </w:rPr>
              <w:t>本项目排放的</w:t>
            </w:r>
            <w:r>
              <w:rPr>
                <w:rFonts w:ascii="Times New Roman" w:hAnsi="Times New Roman" w:cs="Times New Roman"/>
                <w:color w:val="auto"/>
                <w:u w:val="single"/>
              </w:rPr>
              <w:t>污水执行</w:t>
            </w:r>
            <w:r>
              <w:rPr>
                <w:rFonts w:hint="eastAsia" w:ascii="Times New Roman" w:hAnsi="Times New Roman" w:cs="Times New Roman"/>
                <w:color w:val="auto"/>
                <w:u w:val="single"/>
              </w:rPr>
              <w:t>罗家坡污水处理厂进水标准</w:t>
            </w:r>
            <w:r>
              <w:rPr>
                <w:rFonts w:hint="eastAsia" w:ascii="Times New Roman" w:hAnsi="Times New Roman" w:cs="Times New Roman"/>
                <w:color w:val="auto"/>
                <w:u w:val="single"/>
                <w:lang w:eastAsia="zh-CN"/>
              </w:rPr>
              <w:t>，进水标准未规定的项目执行</w:t>
            </w:r>
            <w:r>
              <w:rPr>
                <w:rFonts w:ascii="Times New Roman" w:hAnsi="Times New Roman" w:eastAsia="宋体"/>
                <w:color w:val="auto"/>
                <w:szCs w:val="24"/>
                <w:u w:val="single"/>
              </w:rPr>
              <w:t>《污水综合排放标准》（GB8978-1996）中三级排放标准</w:t>
            </w:r>
            <w:r>
              <w:rPr>
                <w:rFonts w:hint="eastAsia" w:ascii="Times New Roman" w:hAnsi="Times New Roman" w:cs="Times New Roman"/>
                <w:color w:val="auto"/>
                <w:u w:val="single"/>
              </w:rPr>
              <w:t>，罗家坡污水处理厂出水执行《城镇污水处理厂污染物排放标准》（GB18918-2008）的一级A标准，</w:t>
            </w:r>
            <w:r>
              <w:rPr>
                <w:rFonts w:ascii="Times New Roman" w:hAnsi="Times New Roman" w:cs="Times New Roman"/>
                <w:color w:val="auto"/>
                <w:u w:val="single"/>
              </w:rPr>
              <w:t>见表4-</w:t>
            </w:r>
            <w:r>
              <w:rPr>
                <w:rFonts w:hint="eastAsia" w:ascii="Times New Roman" w:hAnsi="Times New Roman" w:cs="Times New Roman"/>
                <w:color w:val="auto"/>
                <w:u w:val="single"/>
              </w:rPr>
              <w:t>4。</w:t>
            </w:r>
          </w:p>
          <w:p>
            <w:pPr>
              <w:spacing w:line="360" w:lineRule="auto"/>
              <w:jc w:val="center"/>
              <w:rPr>
                <w:rFonts w:ascii="Times New Roman" w:hAnsi="Times New Roman" w:cs="Times New Roman"/>
                <w:b/>
                <w:bCs/>
                <w:color w:val="auto"/>
                <w:u w:val="single"/>
              </w:rPr>
            </w:pPr>
            <w:r>
              <w:rPr>
                <w:rFonts w:ascii="Times New Roman" w:hAnsi="Times New Roman" w:cs="Times New Roman"/>
                <w:b/>
                <w:bCs/>
                <w:color w:val="auto"/>
                <w:u w:val="single"/>
              </w:rPr>
              <w:t>表4-</w:t>
            </w:r>
            <w:r>
              <w:rPr>
                <w:rFonts w:hint="eastAsia" w:ascii="Times New Roman" w:hAnsi="Times New Roman" w:cs="Times New Roman"/>
                <w:b/>
                <w:bCs/>
                <w:color w:val="auto"/>
                <w:u w:val="single"/>
              </w:rPr>
              <w:t>4</w:t>
            </w:r>
            <w:r>
              <w:rPr>
                <w:rFonts w:ascii="Times New Roman" w:hAnsi="Times New Roman" w:cs="Times New Roman"/>
                <w:b/>
                <w:bCs/>
                <w:color w:val="auto"/>
                <w:u w:val="single"/>
              </w:rPr>
              <w:t xml:space="preserve">  项目废水</w:t>
            </w:r>
            <w:r>
              <w:rPr>
                <w:rFonts w:hint="eastAsia" w:ascii="Times New Roman" w:hAnsi="Times New Roman" w:cs="Times New Roman"/>
                <w:b/>
                <w:bCs/>
                <w:color w:val="auto"/>
                <w:u w:val="single"/>
              </w:rPr>
              <w:t>接管与外排标准</w:t>
            </w:r>
            <w:r>
              <w:rPr>
                <w:rFonts w:ascii="Times New Roman" w:hAnsi="Times New Roman" w:cs="Times New Roman"/>
                <w:b/>
                <w:bCs/>
                <w:color w:val="auto"/>
                <w:u w:val="single"/>
              </w:rPr>
              <w:t>标准</w:t>
            </w:r>
            <w:r>
              <w:rPr>
                <w:rFonts w:hint="eastAsia" w:ascii="Times New Roman" w:hAnsi="Times New Roman" w:cs="Times New Roman"/>
                <w:b/>
                <w:bCs/>
                <w:color w:val="auto"/>
                <w:u w:val="single"/>
              </w:rPr>
              <w:t xml:space="preserve">          单位（mg/L）</w:t>
            </w:r>
          </w:p>
          <w:tbl>
            <w:tblPr>
              <w:tblStyle w:val="18"/>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43"/>
              <w:gridCol w:w="961"/>
              <w:gridCol w:w="971"/>
              <w:gridCol w:w="964"/>
              <w:gridCol w:w="968"/>
              <w:gridCol w:w="1009"/>
              <w:gridCol w:w="914"/>
              <w:gridCol w:w="91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5" w:type="pct"/>
                  <w:tcBorders>
                    <w:bottom w:val="single" w:color="auto" w:sz="12" w:space="0"/>
                  </w:tcBorders>
                  <w:vAlign w:val="center"/>
                </w:tcPr>
                <w:p>
                  <w:pPr>
                    <w:spacing w:line="240" w:lineRule="auto"/>
                    <w:jc w:val="center"/>
                    <w:rPr>
                      <w:rFonts w:ascii="Times New Roman" w:hAnsi="Times New Roman" w:eastAsia="宋体" w:cs="Times New Roman"/>
                      <w:b/>
                      <w:bCs/>
                      <w:color w:val="auto"/>
                      <w:sz w:val="21"/>
                      <w:szCs w:val="21"/>
                      <w:u w:val="single"/>
                    </w:rPr>
                  </w:pPr>
                  <w:r>
                    <w:rPr>
                      <w:rFonts w:ascii="Times New Roman" w:hAnsi="Times New Roman" w:eastAsia="宋体" w:cs="Times New Roman"/>
                      <w:b/>
                      <w:bCs/>
                      <w:color w:val="auto"/>
                      <w:sz w:val="21"/>
                      <w:szCs w:val="21"/>
                      <w:u w:val="single"/>
                    </w:rPr>
                    <w:t>级别</w:t>
                  </w:r>
                </w:p>
              </w:tc>
              <w:tc>
                <w:tcPr>
                  <w:tcW w:w="565" w:type="pct"/>
                  <w:tcBorders>
                    <w:bottom w:val="single" w:color="auto" w:sz="12" w:space="0"/>
                  </w:tcBorders>
                  <w:vAlign w:val="center"/>
                </w:tcPr>
                <w:p>
                  <w:pPr>
                    <w:spacing w:line="240" w:lineRule="auto"/>
                    <w:jc w:val="center"/>
                    <w:rPr>
                      <w:rFonts w:ascii="Times New Roman" w:hAnsi="Times New Roman" w:eastAsia="宋体" w:cs="Times New Roman"/>
                      <w:b/>
                      <w:bCs/>
                      <w:color w:val="auto"/>
                      <w:sz w:val="21"/>
                      <w:szCs w:val="21"/>
                      <w:u w:val="single"/>
                    </w:rPr>
                  </w:pPr>
                  <w:r>
                    <w:rPr>
                      <w:rFonts w:ascii="Times New Roman" w:hAnsi="Times New Roman" w:eastAsia="宋体" w:cs="Times New Roman"/>
                      <w:b/>
                      <w:bCs/>
                      <w:color w:val="auto"/>
                      <w:sz w:val="21"/>
                      <w:szCs w:val="21"/>
                      <w:u w:val="single"/>
                    </w:rPr>
                    <w:t>PH</w:t>
                  </w:r>
                </w:p>
              </w:tc>
              <w:tc>
                <w:tcPr>
                  <w:tcW w:w="571" w:type="pct"/>
                  <w:tcBorders>
                    <w:bottom w:val="single" w:color="auto" w:sz="12" w:space="0"/>
                  </w:tcBorders>
                  <w:vAlign w:val="center"/>
                </w:tcPr>
                <w:p>
                  <w:pPr>
                    <w:spacing w:line="240" w:lineRule="auto"/>
                    <w:jc w:val="center"/>
                    <w:rPr>
                      <w:rFonts w:ascii="Times New Roman" w:hAnsi="Times New Roman" w:eastAsia="宋体" w:cs="Times New Roman"/>
                      <w:b/>
                      <w:bCs/>
                      <w:color w:val="auto"/>
                      <w:sz w:val="21"/>
                      <w:szCs w:val="21"/>
                      <w:u w:val="single"/>
                    </w:rPr>
                  </w:pPr>
                  <w:r>
                    <w:rPr>
                      <w:rFonts w:ascii="Times New Roman" w:hAnsi="Times New Roman" w:eastAsia="宋体" w:cs="Times New Roman"/>
                      <w:b/>
                      <w:bCs/>
                      <w:color w:val="auto"/>
                      <w:sz w:val="21"/>
                      <w:szCs w:val="21"/>
                      <w:u w:val="single"/>
                    </w:rPr>
                    <w:t>COD</w:t>
                  </w:r>
                  <w:r>
                    <w:rPr>
                      <w:rFonts w:ascii="Times New Roman" w:hAnsi="Times New Roman" w:eastAsia="宋体" w:cs="Times New Roman"/>
                      <w:b/>
                      <w:bCs/>
                      <w:color w:val="auto"/>
                      <w:sz w:val="21"/>
                      <w:szCs w:val="21"/>
                      <w:u w:val="single"/>
                      <w:vertAlign w:val="subscript"/>
                    </w:rPr>
                    <w:t>Cr</w:t>
                  </w:r>
                </w:p>
              </w:tc>
              <w:tc>
                <w:tcPr>
                  <w:tcW w:w="567" w:type="pct"/>
                  <w:tcBorders>
                    <w:bottom w:val="single" w:color="auto" w:sz="12" w:space="0"/>
                  </w:tcBorders>
                  <w:vAlign w:val="center"/>
                </w:tcPr>
                <w:p>
                  <w:pPr>
                    <w:spacing w:line="240" w:lineRule="auto"/>
                    <w:jc w:val="center"/>
                    <w:rPr>
                      <w:rFonts w:ascii="Times New Roman" w:hAnsi="Times New Roman" w:eastAsia="宋体" w:cs="Times New Roman"/>
                      <w:b/>
                      <w:bCs/>
                      <w:color w:val="auto"/>
                      <w:sz w:val="21"/>
                      <w:szCs w:val="21"/>
                      <w:u w:val="single"/>
                    </w:rPr>
                  </w:pPr>
                  <w:r>
                    <w:rPr>
                      <w:rFonts w:ascii="Times New Roman" w:hAnsi="Times New Roman" w:eastAsia="宋体" w:cs="Times New Roman"/>
                      <w:b/>
                      <w:bCs/>
                      <w:color w:val="auto"/>
                      <w:sz w:val="21"/>
                      <w:szCs w:val="21"/>
                      <w:u w:val="single"/>
                    </w:rPr>
                    <w:t>SS</w:t>
                  </w:r>
                </w:p>
              </w:tc>
              <w:tc>
                <w:tcPr>
                  <w:tcW w:w="569" w:type="pct"/>
                  <w:tcBorders>
                    <w:bottom w:val="single" w:color="auto" w:sz="12" w:space="0"/>
                  </w:tcBorders>
                  <w:vAlign w:val="center"/>
                </w:tcPr>
                <w:p>
                  <w:pPr>
                    <w:spacing w:line="240" w:lineRule="auto"/>
                    <w:jc w:val="center"/>
                    <w:rPr>
                      <w:rFonts w:ascii="Times New Roman" w:hAnsi="Times New Roman" w:eastAsia="宋体" w:cs="Times New Roman"/>
                      <w:b/>
                      <w:bCs/>
                      <w:color w:val="auto"/>
                      <w:sz w:val="21"/>
                      <w:szCs w:val="21"/>
                      <w:u w:val="single"/>
                    </w:rPr>
                  </w:pPr>
                  <w:r>
                    <w:rPr>
                      <w:rFonts w:ascii="Times New Roman" w:hAnsi="Times New Roman" w:eastAsia="宋体" w:cs="Times New Roman"/>
                      <w:b/>
                      <w:bCs/>
                      <w:color w:val="auto"/>
                      <w:sz w:val="21"/>
                      <w:szCs w:val="21"/>
                      <w:u w:val="single"/>
                    </w:rPr>
                    <w:t>氨氮</w:t>
                  </w:r>
                </w:p>
              </w:tc>
              <w:tc>
                <w:tcPr>
                  <w:tcW w:w="593" w:type="pct"/>
                  <w:tcBorders>
                    <w:bottom w:val="single" w:color="auto" w:sz="12" w:space="0"/>
                  </w:tcBorders>
                  <w:vAlign w:val="center"/>
                </w:tcPr>
                <w:p>
                  <w:pPr>
                    <w:spacing w:line="240" w:lineRule="auto"/>
                    <w:jc w:val="center"/>
                    <w:rPr>
                      <w:rFonts w:ascii="Times New Roman" w:hAnsi="Times New Roman" w:eastAsia="宋体" w:cs="Times New Roman"/>
                      <w:b/>
                      <w:bCs/>
                      <w:color w:val="auto"/>
                      <w:sz w:val="21"/>
                      <w:szCs w:val="21"/>
                      <w:u w:val="single"/>
                    </w:rPr>
                  </w:pPr>
                  <w:r>
                    <w:rPr>
                      <w:rFonts w:ascii="Times New Roman" w:hAnsi="Times New Roman" w:eastAsia="宋体" w:cs="Times New Roman"/>
                      <w:b/>
                      <w:bCs/>
                      <w:color w:val="auto"/>
                      <w:sz w:val="21"/>
                      <w:szCs w:val="21"/>
                      <w:u w:val="single"/>
                    </w:rPr>
                    <w:t>TP</w:t>
                  </w:r>
                </w:p>
              </w:tc>
              <w:tc>
                <w:tcPr>
                  <w:tcW w:w="538" w:type="pct"/>
                  <w:tcBorders>
                    <w:bottom w:val="single" w:color="auto" w:sz="12" w:space="0"/>
                  </w:tcBorders>
                  <w:vAlign w:val="center"/>
                </w:tcPr>
                <w:p>
                  <w:pPr>
                    <w:spacing w:line="240" w:lineRule="auto"/>
                    <w:jc w:val="center"/>
                    <w:rPr>
                      <w:rFonts w:ascii="Times New Roman" w:hAnsi="Times New Roman" w:eastAsia="宋体" w:cs="Times New Roman"/>
                      <w:b/>
                      <w:bCs/>
                      <w:color w:val="auto"/>
                      <w:sz w:val="21"/>
                      <w:szCs w:val="21"/>
                      <w:u w:val="single"/>
                    </w:rPr>
                  </w:pPr>
                  <w:r>
                    <w:rPr>
                      <w:rFonts w:ascii="Times New Roman" w:hAnsi="Times New Roman" w:eastAsia="宋体" w:cs="Times New Roman"/>
                      <w:b/>
                      <w:bCs/>
                      <w:color w:val="auto"/>
                      <w:sz w:val="21"/>
                      <w:szCs w:val="21"/>
                      <w:u w:val="single"/>
                    </w:rPr>
                    <w:t>TN</w:t>
                  </w:r>
                </w:p>
              </w:tc>
              <w:tc>
                <w:tcPr>
                  <w:tcW w:w="538" w:type="pct"/>
                  <w:tcBorders>
                    <w:bottom w:val="single" w:color="auto" w:sz="12" w:space="0"/>
                  </w:tcBorders>
                  <w:vAlign w:val="center"/>
                </w:tcPr>
                <w:p>
                  <w:pPr>
                    <w:spacing w:line="240" w:lineRule="auto"/>
                    <w:jc w:val="center"/>
                    <w:rPr>
                      <w:rFonts w:ascii="Times New Roman" w:hAnsi="Times New Roman" w:eastAsia="宋体" w:cs="Times New Roman"/>
                      <w:b/>
                      <w:bCs/>
                      <w:color w:val="auto"/>
                      <w:sz w:val="21"/>
                      <w:szCs w:val="21"/>
                      <w:u w:val="single"/>
                    </w:rPr>
                  </w:pPr>
                  <w:r>
                    <w:rPr>
                      <w:rFonts w:hint="eastAsia" w:ascii="Times New Roman" w:hAnsi="Times New Roman" w:eastAsia="宋体" w:cs="Times New Roman"/>
                      <w:b/>
                      <w:bCs/>
                      <w:color w:val="auto"/>
                      <w:sz w:val="21"/>
                      <w:szCs w:val="21"/>
                      <w:u w:val="single"/>
                    </w:rPr>
                    <w:t>BOD</w:t>
                  </w:r>
                  <w:r>
                    <w:rPr>
                      <w:rFonts w:hint="eastAsia" w:ascii="Times New Roman" w:hAnsi="Times New Roman" w:eastAsia="宋体" w:cs="Times New Roman"/>
                      <w:b/>
                      <w:bCs/>
                      <w:color w:val="auto"/>
                      <w:sz w:val="21"/>
                      <w:szCs w:val="21"/>
                      <w:u w:val="single"/>
                      <w:vertAlign w:val="subscript"/>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5"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olor w:val="auto"/>
                      <w:sz w:val="21"/>
                      <w:szCs w:val="21"/>
                      <w:u w:val="single"/>
                    </w:rPr>
                    <w:t>(</w:t>
                  </w:r>
                  <w:r>
                    <w:rPr>
                      <w:rFonts w:ascii="Times New Roman" w:hAnsi="Times New Roman" w:eastAsia="宋体"/>
                      <w:color w:val="auto"/>
                      <w:sz w:val="21"/>
                      <w:szCs w:val="21"/>
                      <w:u w:val="single"/>
                    </w:rPr>
                    <w:t>GB8978-1996</w:t>
                  </w:r>
                  <w:r>
                    <w:rPr>
                      <w:rFonts w:hint="eastAsia" w:ascii="Times New Roman" w:hAnsi="Times New Roman" w:eastAsia="宋体"/>
                      <w:color w:val="auto"/>
                      <w:sz w:val="21"/>
                      <w:szCs w:val="21"/>
                      <w:u w:val="single"/>
                    </w:rPr>
                    <w:t>)三级标准</w:t>
                  </w:r>
                </w:p>
              </w:tc>
              <w:tc>
                <w:tcPr>
                  <w:tcW w:w="565"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ascii="Times New Roman" w:hAnsi="Times New Roman" w:eastAsia="宋体" w:cs="Times New Roman"/>
                      <w:color w:val="auto"/>
                      <w:sz w:val="21"/>
                      <w:szCs w:val="21"/>
                      <w:u w:val="single"/>
                    </w:rPr>
                    <w:t>6～9</w:t>
                  </w:r>
                </w:p>
              </w:tc>
              <w:tc>
                <w:tcPr>
                  <w:tcW w:w="571"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500</w:t>
                  </w:r>
                </w:p>
              </w:tc>
              <w:tc>
                <w:tcPr>
                  <w:tcW w:w="567"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400</w:t>
                  </w:r>
                </w:p>
              </w:tc>
              <w:tc>
                <w:tcPr>
                  <w:tcW w:w="569"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w:t>
                  </w:r>
                </w:p>
              </w:tc>
              <w:tc>
                <w:tcPr>
                  <w:tcW w:w="593"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w:t>
                  </w:r>
                </w:p>
              </w:tc>
              <w:tc>
                <w:tcPr>
                  <w:tcW w:w="538"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w:t>
                  </w:r>
                </w:p>
              </w:tc>
              <w:tc>
                <w:tcPr>
                  <w:tcW w:w="538"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300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5" w:type="pct"/>
                  <w:tcBorders>
                    <w:top w:val="single" w:color="auto" w:sz="12" w:space="0"/>
                    <w:tl2br w:val="nil"/>
                    <w:tr2bl w:val="nil"/>
                  </w:tcBorders>
                  <w:vAlign w:val="center"/>
                </w:tcPr>
                <w:p>
                  <w:pPr>
                    <w:spacing w:line="240" w:lineRule="auto"/>
                    <w:jc w:val="center"/>
                    <w:rPr>
                      <w:rFonts w:ascii="Times New Roman" w:hAnsi="Times New Roman" w:eastAsia="宋体"/>
                      <w:color w:val="auto"/>
                      <w:sz w:val="21"/>
                      <w:szCs w:val="21"/>
                      <w:u w:val="single"/>
                    </w:rPr>
                  </w:pPr>
                  <w:r>
                    <w:rPr>
                      <w:rFonts w:hint="eastAsia" w:ascii="Times New Roman" w:hAnsi="Times New Roman" w:eastAsia="宋体"/>
                      <w:color w:val="auto"/>
                      <w:sz w:val="21"/>
                      <w:szCs w:val="21"/>
                      <w:u w:val="single"/>
                    </w:rPr>
                    <w:t>罗家坡污水处理厂进水标准</w:t>
                  </w:r>
                </w:p>
              </w:tc>
              <w:tc>
                <w:tcPr>
                  <w:tcW w:w="565"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ascii="Times New Roman" w:hAnsi="Times New Roman" w:eastAsia="宋体" w:cs="Times New Roman"/>
                      <w:color w:val="auto"/>
                      <w:sz w:val="21"/>
                      <w:szCs w:val="21"/>
                      <w:u w:val="single"/>
                    </w:rPr>
                    <w:t>6～9</w:t>
                  </w:r>
                </w:p>
              </w:tc>
              <w:tc>
                <w:tcPr>
                  <w:tcW w:w="571"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260</w:t>
                  </w:r>
                </w:p>
              </w:tc>
              <w:tc>
                <w:tcPr>
                  <w:tcW w:w="567"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210</w:t>
                  </w:r>
                </w:p>
              </w:tc>
              <w:tc>
                <w:tcPr>
                  <w:tcW w:w="569"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25</w:t>
                  </w:r>
                </w:p>
              </w:tc>
              <w:tc>
                <w:tcPr>
                  <w:tcW w:w="593"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2.0</w:t>
                  </w:r>
                </w:p>
              </w:tc>
              <w:tc>
                <w:tcPr>
                  <w:tcW w:w="538"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35</w:t>
                  </w:r>
                </w:p>
              </w:tc>
              <w:tc>
                <w:tcPr>
                  <w:tcW w:w="538" w:type="pct"/>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eastAsia="宋体" w:cs="Times New Roman"/>
                      <w:color w:val="auto"/>
                      <w:sz w:val="21"/>
                      <w:szCs w:val="21"/>
                      <w:u w:val="single"/>
                    </w:rPr>
                    <w:t>160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5" w:type="pct"/>
                  <w:tcBorders>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ascii="Times New Roman" w:hAnsi="Times New Roman" w:eastAsia="宋体" w:cs="Times New Roman"/>
                      <w:color w:val="auto"/>
                      <w:sz w:val="21"/>
                      <w:szCs w:val="21"/>
                      <w:u w:val="single"/>
                    </w:rPr>
                    <w:t>（GB18918-2002）一级A标</w:t>
                  </w:r>
                  <w:r>
                    <w:rPr>
                      <w:rFonts w:hint="eastAsia" w:ascii="Times New Roman" w:hAnsi="Times New Roman" w:cs="Times New Roman"/>
                      <w:color w:val="auto"/>
                      <w:sz w:val="21"/>
                      <w:szCs w:val="21"/>
                      <w:u w:val="single"/>
                    </w:rPr>
                    <w:t>准</w:t>
                  </w:r>
                </w:p>
              </w:tc>
              <w:tc>
                <w:tcPr>
                  <w:tcW w:w="565" w:type="pct"/>
                  <w:tcBorders>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ascii="Times New Roman" w:hAnsi="Times New Roman" w:eastAsia="宋体" w:cs="Times New Roman"/>
                      <w:color w:val="auto"/>
                      <w:sz w:val="21"/>
                      <w:szCs w:val="21"/>
                      <w:u w:val="single"/>
                    </w:rPr>
                    <w:t>6～9</w:t>
                  </w:r>
                </w:p>
              </w:tc>
              <w:tc>
                <w:tcPr>
                  <w:tcW w:w="571" w:type="pct"/>
                  <w:tcBorders>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ascii="Times New Roman" w:hAnsi="Times New Roman" w:eastAsia="宋体" w:cs="Times New Roman"/>
                      <w:color w:val="auto"/>
                      <w:sz w:val="21"/>
                      <w:szCs w:val="21"/>
                      <w:u w:val="single"/>
                    </w:rPr>
                    <w:t>50</w:t>
                  </w:r>
                </w:p>
              </w:tc>
              <w:tc>
                <w:tcPr>
                  <w:tcW w:w="567" w:type="pct"/>
                  <w:tcBorders>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ascii="Times New Roman" w:hAnsi="Times New Roman" w:eastAsia="宋体" w:cs="Times New Roman"/>
                      <w:color w:val="auto"/>
                      <w:sz w:val="21"/>
                      <w:szCs w:val="21"/>
                      <w:u w:val="single"/>
                    </w:rPr>
                    <w:t>10</w:t>
                  </w:r>
                </w:p>
              </w:tc>
              <w:tc>
                <w:tcPr>
                  <w:tcW w:w="569" w:type="pct"/>
                  <w:tcBorders>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ascii="Times New Roman" w:hAnsi="Times New Roman" w:eastAsia="宋体" w:cs="Times New Roman"/>
                      <w:color w:val="auto"/>
                      <w:sz w:val="21"/>
                      <w:szCs w:val="21"/>
                      <w:u w:val="single"/>
                    </w:rPr>
                    <w:t>8（5）</w:t>
                  </w:r>
                </w:p>
              </w:tc>
              <w:tc>
                <w:tcPr>
                  <w:tcW w:w="593" w:type="pct"/>
                  <w:tcBorders>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ascii="Times New Roman" w:hAnsi="Times New Roman" w:eastAsia="宋体" w:cs="Times New Roman"/>
                      <w:color w:val="auto"/>
                      <w:sz w:val="21"/>
                      <w:szCs w:val="21"/>
                      <w:u w:val="single"/>
                    </w:rPr>
                    <w:t>0.5</w:t>
                  </w:r>
                </w:p>
              </w:tc>
              <w:tc>
                <w:tcPr>
                  <w:tcW w:w="538" w:type="pct"/>
                  <w:tcBorders>
                    <w:tl2br w:val="nil"/>
                    <w:tr2bl w:val="nil"/>
                  </w:tcBorders>
                  <w:vAlign w:val="center"/>
                </w:tcPr>
                <w:p>
                  <w:pPr>
                    <w:spacing w:line="240" w:lineRule="auto"/>
                    <w:jc w:val="center"/>
                    <w:rPr>
                      <w:rFonts w:ascii="Times New Roman" w:hAnsi="Times New Roman" w:eastAsia="宋体" w:cs="Times New Roman"/>
                      <w:color w:val="auto"/>
                      <w:sz w:val="21"/>
                      <w:szCs w:val="21"/>
                      <w:u w:val="single"/>
                    </w:rPr>
                  </w:pPr>
                  <w:r>
                    <w:rPr>
                      <w:rFonts w:ascii="Times New Roman" w:hAnsi="Times New Roman" w:eastAsia="宋体" w:cs="Times New Roman"/>
                      <w:color w:val="auto"/>
                      <w:sz w:val="21"/>
                      <w:szCs w:val="21"/>
                      <w:u w:val="single"/>
                    </w:rPr>
                    <w:t>15</w:t>
                  </w:r>
                </w:p>
              </w:tc>
              <w:tc>
                <w:tcPr>
                  <w:tcW w:w="538"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u w:val="single"/>
                      <w:lang w:val="en-US" w:eastAsia="zh-CN"/>
                    </w:rPr>
                  </w:pPr>
                  <w:r>
                    <w:rPr>
                      <w:rFonts w:hint="eastAsia" w:ascii="Times New Roman" w:hAnsi="Times New Roman" w:eastAsia="宋体" w:cs="Times New Roman"/>
                      <w:color w:val="auto"/>
                      <w:sz w:val="21"/>
                      <w:szCs w:val="21"/>
                      <w:u w:val="single"/>
                      <w:lang w:val="en-US" w:eastAsia="zh-CN"/>
                    </w:rPr>
                    <w:t>10</w:t>
                  </w:r>
                </w:p>
              </w:tc>
            </w:tr>
          </w:tbl>
          <w:p>
            <w:pPr>
              <w:pStyle w:val="5"/>
              <w:ind w:firstLine="562"/>
              <w:outlineLvl w:val="1"/>
              <w:rPr>
                <w:rFonts w:cs="Times New Roman"/>
                <w:color w:val="auto"/>
              </w:rPr>
            </w:pPr>
            <w:r>
              <w:rPr>
                <w:rFonts w:cs="Times New Roman"/>
                <w:color w:val="auto"/>
              </w:rPr>
              <w:t>2、废气</w:t>
            </w:r>
          </w:p>
          <w:p>
            <w:pPr>
              <w:ind w:firstLine="480" w:firstLineChars="200"/>
              <w:rPr>
                <w:rFonts w:ascii="Times New Roman" w:hAnsi="Times New Roman" w:cs="Times New Roman"/>
                <w:color w:val="auto"/>
              </w:rPr>
            </w:pPr>
            <w:r>
              <w:rPr>
                <w:rFonts w:hint="eastAsia" w:ascii="Times New Roman" w:hAnsi="Times New Roman" w:cs="Times New Roman"/>
                <w:color w:val="auto"/>
              </w:rPr>
              <w:t>锅炉</w:t>
            </w:r>
            <w:r>
              <w:rPr>
                <w:rFonts w:ascii="Times New Roman" w:hAnsi="Times New Roman" w:cs="Times New Roman"/>
                <w:color w:val="auto"/>
              </w:rPr>
              <w:t>废气执行《</w:t>
            </w:r>
            <w:r>
              <w:rPr>
                <w:rFonts w:hint="eastAsia" w:ascii="Times New Roman" w:hAnsi="Times New Roman" w:cs="Times New Roman"/>
                <w:color w:val="auto"/>
              </w:rPr>
              <w:t>锅炉大气污染物</w:t>
            </w:r>
            <w:r>
              <w:rPr>
                <w:rFonts w:ascii="Times New Roman" w:hAnsi="Times New Roman" w:cs="Times New Roman"/>
                <w:color w:val="auto"/>
              </w:rPr>
              <w:t>排放标准》（GB</w:t>
            </w:r>
            <w:r>
              <w:rPr>
                <w:rFonts w:hint="eastAsia" w:ascii="Times New Roman" w:hAnsi="Times New Roman" w:cs="Times New Roman"/>
                <w:color w:val="auto"/>
              </w:rPr>
              <w:t>13271</w:t>
            </w:r>
            <w:r>
              <w:rPr>
                <w:rFonts w:ascii="Times New Roman" w:hAnsi="Times New Roman" w:cs="Times New Roman"/>
                <w:color w:val="auto"/>
              </w:rPr>
              <w:t>-20</w:t>
            </w:r>
            <w:r>
              <w:rPr>
                <w:rFonts w:hint="eastAsia" w:ascii="Times New Roman" w:hAnsi="Times New Roman" w:cs="Times New Roman"/>
                <w:color w:val="auto"/>
              </w:rPr>
              <w:t>14</w:t>
            </w:r>
            <w:r>
              <w:rPr>
                <w:rFonts w:ascii="Times New Roman" w:hAnsi="Times New Roman" w:cs="Times New Roman"/>
                <w:color w:val="auto"/>
              </w:rPr>
              <w:t>）中表3的</w:t>
            </w:r>
            <w:r>
              <w:rPr>
                <w:rFonts w:hint="eastAsia" w:ascii="Times New Roman" w:hAnsi="Times New Roman" w:cs="Times New Roman"/>
                <w:color w:val="auto"/>
              </w:rPr>
              <w:t>大气污染物特别排放限值</w:t>
            </w:r>
            <w:r>
              <w:rPr>
                <w:rFonts w:ascii="Times New Roman" w:hAnsi="Times New Roman" w:cs="Times New Roman"/>
                <w:color w:val="auto"/>
              </w:rPr>
              <w:t>，见表4-</w:t>
            </w:r>
            <w:r>
              <w:rPr>
                <w:rFonts w:hint="eastAsia" w:ascii="Times New Roman" w:hAnsi="Times New Roman" w:cs="Times New Roman"/>
                <w:color w:val="auto"/>
              </w:rPr>
              <w:t>5</w:t>
            </w:r>
            <w:r>
              <w:rPr>
                <w:rFonts w:ascii="Times New Roman" w:hAnsi="Times New Roman" w:cs="Times New Roman"/>
                <w:color w:val="auto"/>
              </w:rPr>
              <w:t>。</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表4-</w:t>
            </w:r>
            <w:r>
              <w:rPr>
                <w:rFonts w:hint="eastAsia" w:ascii="Times New Roman" w:hAnsi="Times New Roman" w:cs="Times New Roman"/>
                <w:b/>
                <w:bCs/>
                <w:color w:val="auto"/>
              </w:rPr>
              <w:t>5</w:t>
            </w:r>
            <w:r>
              <w:rPr>
                <w:rFonts w:ascii="Times New Roman" w:hAnsi="Times New Roman" w:cs="Times New Roman"/>
                <w:b/>
                <w:bCs/>
                <w:color w:val="auto"/>
              </w:rPr>
              <w:t xml:space="preserve">  《锅炉大气污染物排放标准》</w:t>
            </w:r>
            <w:r>
              <w:rPr>
                <w:rFonts w:hint="eastAsia" w:ascii="Times New Roman" w:hAnsi="Times New Roman" w:cs="Times New Roman"/>
                <w:b/>
                <w:bCs/>
                <w:color w:val="auto"/>
              </w:rPr>
              <w:t xml:space="preserve">        单位（mg/m</w:t>
            </w:r>
            <w:r>
              <w:rPr>
                <w:rFonts w:hint="eastAsia" w:ascii="Times New Roman" w:hAnsi="Times New Roman" w:cs="Times New Roman"/>
                <w:b/>
                <w:bCs/>
                <w:color w:val="auto"/>
                <w:vertAlign w:val="superscript"/>
              </w:rPr>
              <w:t>3</w:t>
            </w:r>
            <w:r>
              <w:rPr>
                <w:rFonts w:hint="eastAsia" w:ascii="Times New Roman" w:hAnsi="Times New Roman" w:cs="Times New Roman"/>
                <w:b/>
                <w:bCs/>
                <w:color w:val="auto"/>
              </w:rPr>
              <w:t>）</w:t>
            </w:r>
          </w:p>
          <w:tbl>
            <w:tblPr>
              <w:tblStyle w:val="18"/>
              <w:tblW w:w="865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697"/>
              <w:gridCol w:w="4069"/>
              <w:gridCol w:w="288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7" w:type="dxa"/>
                  <w:vMerge w:val="restart"/>
                  <w:tcBorders>
                    <w:tl2br w:val="nil"/>
                    <w:tr2bl w:val="nil"/>
                  </w:tcBorders>
                  <w:vAlign w:val="center"/>
                </w:tcPr>
                <w:p>
                  <w:pPr>
                    <w:pStyle w:val="15"/>
                    <w:spacing w:after="0" w:line="240" w:lineRule="auto"/>
                    <w:ind w:firstLine="0" w:firstLineChars="0"/>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污染物项目</w:t>
                  </w:r>
                </w:p>
              </w:tc>
              <w:tc>
                <w:tcPr>
                  <w:tcW w:w="4069" w:type="dxa"/>
                  <w:tcBorders>
                    <w:tl2br w:val="nil"/>
                    <w:tr2bl w:val="nil"/>
                  </w:tcBorders>
                  <w:vAlign w:val="center"/>
                </w:tcPr>
                <w:p>
                  <w:pPr>
                    <w:pStyle w:val="15"/>
                    <w:spacing w:after="0" w:line="240" w:lineRule="auto"/>
                    <w:ind w:firstLine="0" w:firstLineChars="0"/>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限值</w:t>
                  </w:r>
                </w:p>
              </w:tc>
              <w:tc>
                <w:tcPr>
                  <w:tcW w:w="2884" w:type="dxa"/>
                  <w:vMerge w:val="restart"/>
                  <w:tcBorders>
                    <w:tl2br w:val="nil"/>
                    <w:tr2bl w:val="nil"/>
                  </w:tcBorders>
                  <w:vAlign w:val="center"/>
                </w:tcPr>
                <w:p>
                  <w:pPr>
                    <w:pStyle w:val="15"/>
                    <w:spacing w:after="0" w:line="240" w:lineRule="auto"/>
                    <w:ind w:firstLine="0" w:firstLineChars="0"/>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污染物排放监控位置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7" w:type="dxa"/>
                  <w:vMerge w:val="continue"/>
                  <w:tcBorders>
                    <w:bottom w:val="single" w:color="auto" w:sz="12" w:space="0"/>
                    <w:tl2br w:val="nil"/>
                    <w:tr2bl w:val="nil"/>
                  </w:tcBorders>
                  <w:vAlign w:val="center"/>
                </w:tcPr>
                <w:p>
                  <w:pPr>
                    <w:pStyle w:val="15"/>
                    <w:spacing w:after="0" w:line="240" w:lineRule="auto"/>
                    <w:ind w:firstLine="0" w:firstLineChars="0"/>
                    <w:jc w:val="center"/>
                    <w:rPr>
                      <w:color w:val="auto"/>
                    </w:rPr>
                  </w:pPr>
                </w:p>
              </w:tc>
              <w:tc>
                <w:tcPr>
                  <w:tcW w:w="4069" w:type="dxa"/>
                  <w:tcBorders>
                    <w:bottom w:val="single" w:color="auto" w:sz="12" w:space="0"/>
                    <w:tl2br w:val="nil"/>
                    <w:tr2bl w:val="nil"/>
                  </w:tcBorders>
                  <w:vAlign w:val="center"/>
                </w:tcPr>
                <w:p>
                  <w:pPr>
                    <w:pStyle w:val="15"/>
                    <w:spacing w:after="0" w:line="240" w:lineRule="auto"/>
                    <w:ind w:firstLine="0" w:firstLineChars="0"/>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燃气锅炉</w:t>
                  </w:r>
                </w:p>
              </w:tc>
              <w:tc>
                <w:tcPr>
                  <w:tcW w:w="2884" w:type="dxa"/>
                  <w:vMerge w:val="continue"/>
                  <w:tcBorders>
                    <w:bottom w:val="single" w:color="auto" w:sz="12" w:space="0"/>
                    <w:tl2br w:val="nil"/>
                    <w:tr2bl w:val="nil"/>
                  </w:tcBorders>
                  <w:vAlign w:val="center"/>
                </w:tcPr>
                <w:p>
                  <w:pPr>
                    <w:pStyle w:val="15"/>
                    <w:spacing w:after="0" w:line="240" w:lineRule="auto"/>
                    <w:ind w:firstLine="0" w:firstLineChars="0"/>
                    <w:jc w:val="center"/>
                    <w:rPr>
                      <w:rFonts w:ascii="Times New Roman" w:hAnsi="Times New Roman" w:cs="Times New Roman"/>
                      <w:b/>
                      <w:bCs/>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Borders>
                    <w:top w:val="single" w:color="auto" w:sz="12" w:space="0"/>
                  </w:tcBorders>
                  <w:vAlign w:val="center"/>
                </w:tcPr>
                <w:p>
                  <w:pPr>
                    <w:pStyle w:val="15"/>
                    <w:spacing w:after="0" w:line="240" w:lineRule="auto"/>
                    <w:ind w:firstLine="0" w:firstLineChars="0"/>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颗粒物</w:t>
                  </w:r>
                </w:p>
              </w:tc>
              <w:tc>
                <w:tcPr>
                  <w:tcW w:w="4069" w:type="dxa"/>
                  <w:tcBorders>
                    <w:top w:val="single" w:color="auto" w:sz="12" w:space="0"/>
                  </w:tcBorders>
                  <w:vAlign w:val="center"/>
                </w:tcPr>
                <w:p>
                  <w:pPr>
                    <w:pStyle w:val="15"/>
                    <w:spacing w:after="0" w:line="240" w:lineRule="auto"/>
                    <w:ind w:firstLine="0" w:firstLineChars="0"/>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20</w:t>
                  </w:r>
                </w:p>
              </w:tc>
              <w:tc>
                <w:tcPr>
                  <w:tcW w:w="2884" w:type="dxa"/>
                  <w:vMerge w:val="restart"/>
                  <w:tcBorders>
                    <w:top w:val="single" w:color="auto" w:sz="12" w:space="0"/>
                  </w:tcBorders>
                  <w:vAlign w:val="center"/>
                </w:tcPr>
                <w:p>
                  <w:pPr>
                    <w:pStyle w:val="15"/>
                    <w:spacing w:after="0" w:line="240" w:lineRule="auto"/>
                    <w:ind w:firstLine="0" w:firstLineChars="0"/>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烟囱或烟道</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Borders>
                    <w:tl2br w:val="nil"/>
                    <w:tr2bl w:val="nil"/>
                  </w:tcBorders>
                  <w:vAlign w:val="center"/>
                </w:tcPr>
                <w:p>
                  <w:pPr>
                    <w:pStyle w:val="15"/>
                    <w:spacing w:after="0" w:line="240" w:lineRule="auto"/>
                    <w:ind w:firstLine="0" w:firstLineChars="0"/>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二氧化硫</w:t>
                  </w:r>
                </w:p>
              </w:tc>
              <w:tc>
                <w:tcPr>
                  <w:tcW w:w="4069" w:type="dxa"/>
                  <w:tcBorders>
                    <w:tl2br w:val="nil"/>
                    <w:tr2bl w:val="nil"/>
                  </w:tcBorders>
                  <w:vAlign w:val="center"/>
                </w:tcPr>
                <w:p>
                  <w:pPr>
                    <w:pStyle w:val="15"/>
                    <w:spacing w:after="0" w:line="240" w:lineRule="auto"/>
                    <w:ind w:firstLine="0" w:firstLineChars="0"/>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50</w:t>
                  </w:r>
                </w:p>
              </w:tc>
              <w:tc>
                <w:tcPr>
                  <w:tcW w:w="2884" w:type="dxa"/>
                  <w:vMerge w:val="continue"/>
                  <w:tcBorders>
                    <w:tl2br w:val="nil"/>
                    <w:tr2bl w:val="nil"/>
                  </w:tcBorders>
                  <w:vAlign w:val="center"/>
                </w:tcPr>
                <w:p>
                  <w:pPr>
                    <w:pStyle w:val="15"/>
                    <w:spacing w:after="0" w:line="240" w:lineRule="auto"/>
                    <w:ind w:firstLine="0" w:firstLineChars="0"/>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Borders>
                    <w:tl2br w:val="nil"/>
                    <w:tr2bl w:val="nil"/>
                  </w:tcBorders>
                  <w:vAlign w:val="center"/>
                </w:tcPr>
                <w:p>
                  <w:pPr>
                    <w:pStyle w:val="15"/>
                    <w:spacing w:after="0" w:line="240" w:lineRule="auto"/>
                    <w:ind w:firstLine="0" w:firstLineChars="0"/>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氮氧化物</w:t>
                  </w:r>
                </w:p>
              </w:tc>
              <w:tc>
                <w:tcPr>
                  <w:tcW w:w="4069" w:type="dxa"/>
                  <w:tcBorders>
                    <w:tl2br w:val="nil"/>
                    <w:tr2bl w:val="nil"/>
                  </w:tcBorders>
                  <w:vAlign w:val="center"/>
                </w:tcPr>
                <w:p>
                  <w:pPr>
                    <w:pStyle w:val="15"/>
                    <w:spacing w:after="0" w:line="240" w:lineRule="auto"/>
                    <w:ind w:firstLine="0" w:firstLineChars="0"/>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150</w:t>
                  </w:r>
                </w:p>
              </w:tc>
              <w:tc>
                <w:tcPr>
                  <w:tcW w:w="2884" w:type="dxa"/>
                  <w:vMerge w:val="continue"/>
                  <w:tcBorders>
                    <w:tl2br w:val="nil"/>
                    <w:tr2bl w:val="nil"/>
                  </w:tcBorders>
                  <w:vAlign w:val="center"/>
                </w:tcPr>
                <w:p>
                  <w:pPr>
                    <w:pStyle w:val="15"/>
                    <w:spacing w:after="0" w:line="240" w:lineRule="auto"/>
                    <w:ind w:firstLine="0" w:firstLineChars="0"/>
                    <w:jc w:val="center"/>
                    <w:rPr>
                      <w:rFonts w:ascii="Times New Roman" w:hAnsi="Times New Roman" w:cs="Times New Roman"/>
                      <w:color w:val="auto"/>
                      <w:sz w:val="21"/>
                      <w:szCs w:val="21"/>
                    </w:rPr>
                  </w:pPr>
                </w:p>
              </w:tc>
            </w:tr>
          </w:tbl>
          <w:p>
            <w:pPr>
              <w:pStyle w:val="5"/>
              <w:ind w:firstLine="562"/>
              <w:outlineLvl w:val="1"/>
              <w:rPr>
                <w:rFonts w:cs="Times New Roman"/>
                <w:color w:val="auto"/>
              </w:rPr>
            </w:pPr>
            <w:r>
              <w:rPr>
                <w:rFonts w:cs="Times New Roman"/>
                <w:color w:val="auto"/>
              </w:rPr>
              <w:t>3、噪声</w:t>
            </w:r>
          </w:p>
          <w:p>
            <w:pPr>
              <w:ind w:firstLine="480" w:firstLineChars="200"/>
              <w:rPr>
                <w:rFonts w:ascii="Times New Roman" w:hAnsi="Times New Roman" w:cs="Times New Roman"/>
                <w:color w:val="auto"/>
              </w:rPr>
            </w:pPr>
            <w:r>
              <w:rPr>
                <w:rFonts w:ascii="Times New Roman" w:hAnsi="Times New Roman" w:cs="Times New Roman"/>
                <w:color w:val="auto"/>
              </w:rPr>
              <w:t>营运期厂界噪声执行《</w:t>
            </w:r>
            <w:r>
              <w:rPr>
                <w:rFonts w:hint="eastAsia" w:ascii="Times New Roman" w:hAnsi="Times New Roman" w:cs="Times New Roman"/>
                <w:color w:val="auto"/>
              </w:rPr>
              <w:t>工业企业厂界</w:t>
            </w:r>
            <w:r>
              <w:rPr>
                <w:rFonts w:ascii="Times New Roman" w:hAnsi="Times New Roman" w:cs="Times New Roman"/>
                <w:color w:val="auto"/>
              </w:rPr>
              <w:t>噪声排放标准》（GB12348-2008）2类标准，见表4-</w:t>
            </w:r>
            <w:r>
              <w:rPr>
                <w:rFonts w:hint="eastAsia" w:ascii="Times New Roman" w:hAnsi="Times New Roman" w:cs="Times New Roman"/>
                <w:color w:val="auto"/>
              </w:rPr>
              <w:t>6</w:t>
            </w:r>
            <w:r>
              <w:rPr>
                <w:rFonts w:ascii="Times New Roman" w:hAnsi="Times New Roman" w:cs="Times New Roman"/>
                <w:color w:val="auto"/>
              </w:rPr>
              <w:t>。</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表4-</w:t>
            </w:r>
            <w:r>
              <w:rPr>
                <w:rFonts w:hint="eastAsia" w:ascii="Times New Roman" w:hAnsi="Times New Roman" w:cs="Times New Roman"/>
                <w:b/>
                <w:bCs/>
                <w:color w:val="auto"/>
              </w:rPr>
              <w:t>6</w:t>
            </w:r>
            <w:r>
              <w:rPr>
                <w:rFonts w:ascii="Times New Roman" w:hAnsi="Times New Roman" w:cs="Times New Roman"/>
                <w:b/>
                <w:bCs/>
                <w:color w:val="auto"/>
              </w:rPr>
              <w:t xml:space="preserve">  </w:t>
            </w:r>
            <w:r>
              <w:rPr>
                <w:rFonts w:hint="eastAsia" w:ascii="Times New Roman" w:hAnsi="Times New Roman" w:cs="Times New Roman"/>
                <w:b/>
                <w:bCs/>
                <w:color w:val="auto"/>
              </w:rPr>
              <w:t>工业企业厂界</w:t>
            </w:r>
            <w:r>
              <w:rPr>
                <w:rFonts w:ascii="Times New Roman" w:hAnsi="Times New Roman" w:cs="Times New Roman"/>
                <w:b/>
                <w:bCs/>
                <w:color w:val="auto"/>
              </w:rPr>
              <w:t xml:space="preserve">噪声排放限值    </w:t>
            </w:r>
            <w:r>
              <w:rPr>
                <w:rFonts w:hint="eastAsia" w:ascii="Times New Roman" w:hAnsi="Times New Roman" w:cs="Times New Roman"/>
                <w:b/>
                <w:bCs/>
                <w:color w:val="auto"/>
              </w:rPr>
              <w:t xml:space="preserve">   </w:t>
            </w:r>
            <w:r>
              <w:rPr>
                <w:rFonts w:ascii="Times New Roman" w:hAnsi="Times New Roman" w:cs="Times New Roman"/>
                <w:b/>
                <w:bCs/>
                <w:color w:val="auto"/>
              </w:rPr>
              <w:t>单位：dB(A)</w:t>
            </w:r>
          </w:p>
          <w:tbl>
            <w:tblPr>
              <w:tblStyle w:val="18"/>
              <w:tblW w:w="8650" w:type="dxa"/>
              <w:jc w:val="center"/>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Layout w:type="autofit"/>
              <w:tblCellMar>
                <w:top w:w="0" w:type="dxa"/>
                <w:left w:w="108" w:type="dxa"/>
                <w:bottom w:w="0" w:type="dxa"/>
                <w:right w:w="108" w:type="dxa"/>
              </w:tblCellMar>
            </w:tblPr>
            <w:tblGrid>
              <w:gridCol w:w="3267"/>
              <w:gridCol w:w="2745"/>
              <w:gridCol w:w="2638"/>
            </w:tblGrid>
            <w:tr>
              <w:tblPrEx>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CellMar>
                  <w:top w:w="0" w:type="dxa"/>
                  <w:left w:w="108" w:type="dxa"/>
                  <w:bottom w:w="0" w:type="dxa"/>
                  <w:right w:w="108" w:type="dxa"/>
                </w:tblCellMar>
              </w:tblPrEx>
              <w:trPr>
                <w:jc w:val="center"/>
              </w:trPr>
              <w:tc>
                <w:tcPr>
                  <w:tcW w:w="3267" w:type="dxa"/>
                  <w:tcBorders>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边界处声环境功能区类型</w:t>
                  </w:r>
                </w:p>
              </w:tc>
              <w:tc>
                <w:tcPr>
                  <w:tcW w:w="2745" w:type="dxa"/>
                  <w:tcBorders>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昼间</w:t>
                  </w:r>
                </w:p>
              </w:tc>
              <w:tc>
                <w:tcPr>
                  <w:tcW w:w="2638" w:type="dxa"/>
                  <w:tcBorders>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夜间</w:t>
                  </w:r>
                </w:p>
              </w:tc>
            </w:tr>
            <w:tr>
              <w:tblPrEx>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CellMar>
                  <w:top w:w="0" w:type="dxa"/>
                  <w:left w:w="108" w:type="dxa"/>
                  <w:bottom w:w="0" w:type="dxa"/>
                  <w:right w:w="108" w:type="dxa"/>
                </w:tblCellMar>
              </w:tblPrEx>
              <w:trPr>
                <w:jc w:val="center"/>
              </w:trPr>
              <w:tc>
                <w:tcPr>
                  <w:tcW w:w="3267"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2类</w:t>
                  </w:r>
                </w:p>
              </w:tc>
              <w:tc>
                <w:tcPr>
                  <w:tcW w:w="274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60</w:t>
                  </w:r>
                </w:p>
              </w:tc>
              <w:tc>
                <w:tcPr>
                  <w:tcW w:w="2638"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50</w:t>
                  </w:r>
                </w:p>
              </w:tc>
            </w:tr>
          </w:tbl>
          <w:p>
            <w:pPr>
              <w:pStyle w:val="5"/>
              <w:ind w:firstLine="562"/>
              <w:outlineLvl w:val="1"/>
              <w:rPr>
                <w:rFonts w:cs="Times New Roman"/>
                <w:color w:val="auto"/>
              </w:rPr>
            </w:pPr>
            <w:r>
              <w:rPr>
                <w:rFonts w:cs="Times New Roman"/>
                <w:color w:val="auto"/>
              </w:rPr>
              <w:t>4、固体废物</w:t>
            </w:r>
          </w:p>
          <w:p>
            <w:pPr>
              <w:ind w:firstLine="480" w:firstLineChars="200"/>
              <w:rPr>
                <w:rFonts w:ascii="Times New Roman" w:hAnsi="Times New Roman" w:cs="Times New Roman"/>
                <w:color w:val="auto"/>
              </w:rPr>
            </w:pPr>
            <w:r>
              <w:rPr>
                <w:rFonts w:hint="eastAsia" w:ascii="Times New Roman" w:hAnsi="Times New Roman" w:cs="Times New Roman"/>
                <w:color w:val="auto"/>
              </w:rPr>
              <w:t>一般</w:t>
            </w:r>
            <w:r>
              <w:rPr>
                <w:rFonts w:ascii="Times New Roman" w:hAnsi="Times New Roman" w:cs="Times New Roman"/>
                <w:color w:val="auto"/>
              </w:rPr>
              <w:t>固体废物执行《一般工业固体废物贮存、处置场污染控制标准》（GB18599-2001）及其修改单相关要求。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22" w:type="dxa"/>
            <w:tcBorders>
              <w:tl2br w:val="nil"/>
              <w:tr2bl w:val="nil"/>
            </w:tcBorders>
            <w:vAlign w:val="center"/>
          </w:tcPr>
          <w:p>
            <w:pPr>
              <w:jc w:val="center"/>
              <w:rPr>
                <w:rFonts w:ascii="Times New Roman" w:hAnsi="Times New Roman" w:cs="Times New Roman"/>
                <w:color w:val="auto"/>
              </w:rPr>
            </w:pPr>
            <w:r>
              <w:rPr>
                <w:rFonts w:ascii="Times New Roman" w:hAnsi="Times New Roman" w:cs="Times New Roman"/>
                <w:color w:val="auto"/>
              </w:rPr>
              <w:t>总量控制指标</w:t>
            </w:r>
          </w:p>
        </w:tc>
        <w:tc>
          <w:tcPr>
            <w:tcW w:w="8866" w:type="dxa"/>
            <w:tcBorders>
              <w:tl2br w:val="nil"/>
              <w:tr2bl w:val="nil"/>
            </w:tcBorders>
          </w:tcPr>
          <w:p>
            <w:pPr>
              <w:widowControl/>
              <w:ind w:firstLine="482" w:firstLineChars="200"/>
              <w:jc w:val="left"/>
              <w:rPr>
                <w:rFonts w:ascii="Times New Roman" w:hAnsi="Times New Roman" w:cs="Times New Roman"/>
                <w:b/>
                <w:bCs/>
                <w:color w:val="auto"/>
              </w:rPr>
            </w:pPr>
            <w:r>
              <w:rPr>
                <w:rFonts w:ascii="Times New Roman" w:hAnsi="Times New Roman" w:eastAsia="宋体" w:cs="Times New Roman"/>
                <w:b/>
                <w:bCs/>
                <w:color w:val="auto"/>
                <w:kern w:val="0"/>
                <w:szCs w:val="24"/>
                <w:lang w:bidi="ar"/>
              </w:rPr>
              <w:t>项目总量控制指标如下：</w:t>
            </w:r>
          </w:p>
          <w:p>
            <w:pPr>
              <w:ind w:firstLine="480" w:firstLineChars="200"/>
              <w:rPr>
                <w:rFonts w:ascii="Times New Roman" w:hAnsi="Times New Roman" w:cs="Times New Roman"/>
                <w:color w:val="auto"/>
              </w:rPr>
            </w:pPr>
            <w:r>
              <w:rPr>
                <w:rFonts w:ascii="Times New Roman" w:hAnsi="Times New Roman" w:cs="Times New Roman"/>
                <w:color w:val="auto"/>
              </w:rPr>
              <w:t>本项目</w:t>
            </w:r>
            <w:r>
              <w:rPr>
                <w:rFonts w:hint="eastAsia" w:ascii="Times New Roman" w:hAnsi="Times New Roman" w:cs="Times New Roman"/>
                <w:color w:val="auto"/>
              </w:rPr>
              <w:t>主要污染源为锅炉废气和锅炉废水</w:t>
            </w:r>
            <w:r>
              <w:rPr>
                <w:rFonts w:ascii="Times New Roman" w:hAnsi="Times New Roman" w:cs="Times New Roman"/>
                <w:color w:val="auto"/>
              </w:rPr>
              <w:t>，</w:t>
            </w:r>
            <w:r>
              <w:rPr>
                <w:rFonts w:hint="eastAsia" w:ascii="Times New Roman" w:hAnsi="Times New Roman" w:cs="Times New Roman"/>
                <w:color w:val="auto"/>
              </w:rPr>
              <w:t>废水排放量为</w:t>
            </w:r>
            <w:r>
              <w:rPr>
                <w:rFonts w:hint="eastAsia" w:ascii="Times New Roman" w:hAnsi="Times New Roman" w:cs="Times New Roman"/>
                <w:color w:val="auto"/>
                <w:lang w:val="en-US" w:eastAsia="zh-CN"/>
              </w:rPr>
              <w:t>2032.24</w:t>
            </w:r>
            <w:r>
              <w:rPr>
                <w:rFonts w:hint="eastAsia" w:ascii="Times New Roman" w:hAnsi="Times New Roman" w:cs="Times New Roman"/>
                <w:color w:val="auto"/>
              </w:rPr>
              <w:t>m</w:t>
            </w:r>
            <w:r>
              <w:rPr>
                <w:rFonts w:hint="eastAsia" w:ascii="Times New Roman" w:hAnsi="Times New Roman" w:cs="Times New Roman"/>
                <w:color w:val="auto"/>
                <w:vertAlign w:val="superscript"/>
              </w:rPr>
              <w:t>3</w:t>
            </w:r>
            <w:r>
              <w:rPr>
                <w:rFonts w:hint="eastAsia" w:ascii="Times New Roman" w:hAnsi="Times New Roman" w:cs="Times New Roman"/>
                <w:color w:val="auto"/>
              </w:rPr>
              <w:t>/a，废气排放量为2042.13万m</w:t>
            </w:r>
            <w:r>
              <w:rPr>
                <w:rFonts w:hint="eastAsia" w:ascii="Times New Roman" w:hAnsi="Times New Roman" w:cs="Times New Roman"/>
                <w:color w:val="auto"/>
                <w:vertAlign w:val="superscript"/>
              </w:rPr>
              <w:t>3</w:t>
            </w:r>
            <w:r>
              <w:rPr>
                <w:rFonts w:hint="eastAsia" w:ascii="Times New Roman" w:hAnsi="Times New Roman" w:cs="Times New Roman"/>
                <w:color w:val="auto"/>
              </w:rPr>
              <w:t>/a，其中废水经排污管道进入污水处理站后，经处理后由市政管网排入罗家坡污水处理厂经处理达《城镇污水处理厂污染物排放标准》（GB18918-2008）的一级A标准后经由北港河排入南湖；新建锅炉废气经锅炉自带的低氮燃烧器和烟气再循环技术处理后由2</w:t>
            </w:r>
            <w:r>
              <w:rPr>
                <w:rFonts w:hint="eastAsia" w:ascii="Times New Roman" w:hAnsi="Times New Roman" w:cs="Times New Roman"/>
                <w:color w:val="auto"/>
                <w:lang w:val="en-US" w:eastAsia="zh-CN"/>
              </w:rPr>
              <w:t>3</w:t>
            </w:r>
            <w:r>
              <w:rPr>
                <w:rFonts w:hint="eastAsia" w:ascii="Times New Roman" w:hAnsi="Times New Roman" w:cs="Times New Roman"/>
                <w:color w:val="auto"/>
              </w:rPr>
              <w:t>米烟囱高空排入大气。总量控制指标见下表：</w:t>
            </w:r>
          </w:p>
          <w:p>
            <w:pPr>
              <w:pStyle w:val="6"/>
              <w:ind w:firstLine="0" w:firstLineChars="0"/>
              <w:jc w:val="center"/>
              <w:outlineLvl w:val="2"/>
              <w:rPr>
                <w:color w:val="auto"/>
              </w:rPr>
            </w:pPr>
            <w:r>
              <w:rPr>
                <w:rFonts w:hint="eastAsia" w:cs="Times New Roman"/>
                <w:color w:val="auto"/>
              </w:rPr>
              <w:t>表4-7  总量控制指标一览表    （t/a）</w:t>
            </w:r>
          </w:p>
          <w:tbl>
            <w:tblPr>
              <w:tblStyle w:val="18"/>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619"/>
              <w:gridCol w:w="1469"/>
              <w:gridCol w:w="1486"/>
              <w:gridCol w:w="1479"/>
              <w:gridCol w:w="159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4" w:type="pct"/>
                  <w:tcBorders>
                    <w:bottom w:val="single" w:color="auto" w:sz="12" w:space="0"/>
                  </w:tcBorders>
                  <w:vAlign w:val="center"/>
                </w:tcPr>
                <w:p>
                  <w:pPr>
                    <w:pStyle w:val="6"/>
                    <w:spacing w:line="240" w:lineRule="auto"/>
                    <w:ind w:firstLine="0" w:firstLineChars="0"/>
                    <w:jc w:val="center"/>
                    <w:outlineLvl w:val="2"/>
                    <w:rPr>
                      <w:rFonts w:cs="Times New Roman"/>
                      <w:color w:val="auto"/>
                      <w:sz w:val="21"/>
                      <w:szCs w:val="21"/>
                    </w:rPr>
                  </w:pPr>
                  <w:r>
                    <w:rPr>
                      <w:rFonts w:cs="Times New Roman"/>
                      <w:color w:val="auto"/>
                      <w:sz w:val="21"/>
                      <w:szCs w:val="21"/>
                    </w:rPr>
                    <w:t>项目</w:t>
                  </w:r>
                </w:p>
              </w:tc>
              <w:tc>
                <w:tcPr>
                  <w:tcW w:w="849" w:type="pct"/>
                  <w:tcBorders>
                    <w:bottom w:val="single" w:color="auto" w:sz="12" w:space="0"/>
                  </w:tcBorders>
                  <w:vAlign w:val="center"/>
                </w:tcPr>
                <w:p>
                  <w:pPr>
                    <w:pStyle w:val="6"/>
                    <w:spacing w:line="240" w:lineRule="auto"/>
                    <w:ind w:firstLine="0" w:firstLineChars="0"/>
                    <w:jc w:val="center"/>
                    <w:outlineLvl w:val="2"/>
                    <w:rPr>
                      <w:rFonts w:cs="Times New Roman"/>
                      <w:color w:val="auto"/>
                      <w:sz w:val="21"/>
                      <w:szCs w:val="21"/>
                    </w:rPr>
                  </w:pPr>
                  <w:r>
                    <w:rPr>
                      <w:rFonts w:cs="Times New Roman"/>
                      <w:color w:val="auto"/>
                      <w:sz w:val="21"/>
                      <w:szCs w:val="21"/>
                    </w:rPr>
                    <w:t>SO</w:t>
                  </w:r>
                  <w:r>
                    <w:rPr>
                      <w:rFonts w:cs="Times New Roman"/>
                      <w:color w:val="auto"/>
                      <w:sz w:val="21"/>
                      <w:szCs w:val="21"/>
                      <w:vertAlign w:val="subscript"/>
                    </w:rPr>
                    <w:t>2</w:t>
                  </w:r>
                </w:p>
              </w:tc>
              <w:tc>
                <w:tcPr>
                  <w:tcW w:w="859" w:type="pct"/>
                  <w:tcBorders>
                    <w:bottom w:val="single" w:color="auto" w:sz="12" w:space="0"/>
                  </w:tcBorders>
                  <w:vAlign w:val="center"/>
                </w:tcPr>
                <w:p>
                  <w:pPr>
                    <w:pStyle w:val="6"/>
                    <w:spacing w:line="240" w:lineRule="auto"/>
                    <w:ind w:firstLine="0" w:firstLineChars="0"/>
                    <w:jc w:val="center"/>
                    <w:outlineLvl w:val="2"/>
                    <w:rPr>
                      <w:rFonts w:cs="Times New Roman"/>
                      <w:color w:val="auto"/>
                      <w:sz w:val="21"/>
                      <w:szCs w:val="21"/>
                    </w:rPr>
                  </w:pPr>
                  <w:r>
                    <w:rPr>
                      <w:rFonts w:cs="Times New Roman"/>
                      <w:color w:val="auto"/>
                      <w:sz w:val="21"/>
                      <w:szCs w:val="21"/>
                    </w:rPr>
                    <w:t>NO</w:t>
                  </w:r>
                  <w:r>
                    <w:rPr>
                      <w:rFonts w:cs="Times New Roman"/>
                      <w:color w:val="auto"/>
                      <w:sz w:val="21"/>
                      <w:szCs w:val="21"/>
                      <w:vertAlign w:val="subscript"/>
                    </w:rPr>
                    <w:t>X</w:t>
                  </w:r>
                </w:p>
              </w:tc>
              <w:tc>
                <w:tcPr>
                  <w:tcW w:w="855" w:type="pct"/>
                  <w:tcBorders>
                    <w:bottom w:val="single" w:color="auto" w:sz="12" w:space="0"/>
                  </w:tcBorders>
                  <w:vAlign w:val="center"/>
                </w:tcPr>
                <w:p>
                  <w:pPr>
                    <w:pStyle w:val="6"/>
                    <w:spacing w:line="240" w:lineRule="auto"/>
                    <w:ind w:firstLine="0" w:firstLineChars="0"/>
                    <w:jc w:val="center"/>
                    <w:outlineLvl w:val="2"/>
                    <w:rPr>
                      <w:rFonts w:cs="Times New Roman"/>
                      <w:color w:val="auto"/>
                      <w:sz w:val="21"/>
                      <w:szCs w:val="21"/>
                    </w:rPr>
                  </w:pPr>
                  <w:r>
                    <w:rPr>
                      <w:rFonts w:cs="Times New Roman"/>
                      <w:color w:val="auto"/>
                      <w:sz w:val="21"/>
                      <w:szCs w:val="21"/>
                    </w:rPr>
                    <w:t>CODcr</w:t>
                  </w:r>
                </w:p>
              </w:tc>
              <w:tc>
                <w:tcPr>
                  <w:tcW w:w="920" w:type="pct"/>
                  <w:tcBorders>
                    <w:bottom w:val="single" w:color="auto" w:sz="12" w:space="0"/>
                  </w:tcBorders>
                  <w:vAlign w:val="center"/>
                </w:tcPr>
                <w:p>
                  <w:pPr>
                    <w:pStyle w:val="6"/>
                    <w:spacing w:line="240" w:lineRule="auto"/>
                    <w:ind w:firstLine="0" w:firstLineChars="0"/>
                    <w:jc w:val="center"/>
                    <w:outlineLvl w:val="2"/>
                    <w:rPr>
                      <w:rFonts w:cs="Times New Roman"/>
                      <w:color w:val="auto"/>
                      <w:sz w:val="21"/>
                      <w:szCs w:val="21"/>
                    </w:rPr>
                  </w:pPr>
                  <w:r>
                    <w:rPr>
                      <w:rFonts w:cs="Times New Roman"/>
                      <w:color w:val="auto"/>
                      <w:sz w:val="21"/>
                      <w:szCs w:val="21"/>
                    </w:rPr>
                    <w:t>NH</w:t>
                  </w:r>
                  <w:r>
                    <w:rPr>
                      <w:rFonts w:cs="Times New Roman"/>
                      <w:color w:val="auto"/>
                      <w:sz w:val="21"/>
                      <w:szCs w:val="21"/>
                      <w:vertAlign w:val="subscript"/>
                    </w:rPr>
                    <w:t>3</w:t>
                  </w:r>
                  <w:r>
                    <w:rPr>
                      <w:rFonts w:cs="Times New Roman"/>
                      <w:color w:val="auto"/>
                      <w:sz w:val="21"/>
                      <w:szCs w:val="21"/>
                    </w:rPr>
                    <w:t>-N</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4" w:type="pct"/>
                  <w:tcBorders>
                    <w:top w:val="single" w:color="auto" w:sz="12" w:space="0"/>
                    <w:tl2br w:val="nil"/>
                    <w:tr2bl w:val="nil"/>
                  </w:tcBorders>
                  <w:vAlign w:val="center"/>
                </w:tcPr>
                <w:p>
                  <w:pPr>
                    <w:pStyle w:val="6"/>
                    <w:spacing w:line="240" w:lineRule="auto"/>
                    <w:ind w:firstLine="0" w:firstLineChars="0"/>
                    <w:jc w:val="center"/>
                    <w:outlineLvl w:val="2"/>
                    <w:rPr>
                      <w:rFonts w:cs="Times New Roman"/>
                      <w:b w:val="0"/>
                      <w:bCs/>
                      <w:color w:val="auto"/>
                      <w:sz w:val="21"/>
                      <w:szCs w:val="21"/>
                    </w:rPr>
                  </w:pPr>
                  <w:r>
                    <w:rPr>
                      <w:rFonts w:cs="Times New Roman"/>
                      <w:b w:val="0"/>
                      <w:bCs/>
                      <w:color w:val="auto"/>
                      <w:sz w:val="21"/>
                      <w:szCs w:val="21"/>
                    </w:rPr>
                    <w:t>本项目总量</w:t>
                  </w:r>
                  <w:r>
                    <w:rPr>
                      <w:rFonts w:hint="eastAsia" w:cs="Times New Roman"/>
                      <w:b w:val="0"/>
                      <w:bCs/>
                      <w:color w:val="auto"/>
                      <w:sz w:val="21"/>
                      <w:szCs w:val="21"/>
                    </w:rPr>
                    <w:t>控制</w:t>
                  </w:r>
                  <w:r>
                    <w:rPr>
                      <w:rFonts w:cs="Times New Roman"/>
                      <w:b w:val="0"/>
                      <w:bCs/>
                      <w:color w:val="auto"/>
                      <w:sz w:val="21"/>
                      <w:szCs w:val="21"/>
                    </w:rPr>
                    <w:t>建议指标</w:t>
                  </w:r>
                </w:p>
              </w:tc>
              <w:tc>
                <w:tcPr>
                  <w:tcW w:w="849" w:type="pct"/>
                  <w:tcBorders>
                    <w:top w:val="single" w:color="auto" w:sz="12" w:space="0"/>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hint="eastAsia" w:cs="Times New Roman"/>
                      <w:b w:val="0"/>
                      <w:bCs/>
                      <w:color w:val="auto"/>
                      <w:sz w:val="21"/>
                      <w:szCs w:val="21"/>
                    </w:rPr>
                    <w:t>0.</w:t>
                  </w:r>
                  <w:r>
                    <w:rPr>
                      <w:rFonts w:hint="eastAsia" w:cs="Times New Roman"/>
                      <w:b w:val="0"/>
                      <w:bCs/>
                      <w:color w:val="auto"/>
                      <w:sz w:val="21"/>
                      <w:szCs w:val="21"/>
                      <w:lang w:val="en-US" w:eastAsia="zh-CN"/>
                    </w:rPr>
                    <w:t>599</w:t>
                  </w:r>
                </w:p>
              </w:tc>
              <w:tc>
                <w:tcPr>
                  <w:tcW w:w="859" w:type="pct"/>
                  <w:tcBorders>
                    <w:top w:val="single" w:color="auto" w:sz="12" w:space="0"/>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hint="eastAsia" w:cs="Times New Roman"/>
                      <w:b w:val="0"/>
                      <w:bCs/>
                      <w:color w:val="auto"/>
                      <w:sz w:val="21"/>
                      <w:szCs w:val="21"/>
                    </w:rPr>
                    <w:t>0.5</w:t>
                  </w:r>
                  <w:r>
                    <w:rPr>
                      <w:rFonts w:hint="eastAsia" w:cs="Times New Roman"/>
                      <w:b w:val="0"/>
                      <w:bCs/>
                      <w:color w:val="auto"/>
                      <w:sz w:val="21"/>
                      <w:szCs w:val="21"/>
                      <w:lang w:val="en-US" w:eastAsia="zh-CN"/>
                    </w:rPr>
                    <w:t>72</w:t>
                  </w:r>
                </w:p>
              </w:tc>
              <w:tc>
                <w:tcPr>
                  <w:tcW w:w="855" w:type="pct"/>
                  <w:tcBorders>
                    <w:top w:val="single" w:color="auto" w:sz="12" w:space="0"/>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hint="eastAsia" w:cs="Times New Roman"/>
                      <w:b w:val="0"/>
                      <w:bCs/>
                      <w:color w:val="auto"/>
                      <w:sz w:val="21"/>
                      <w:szCs w:val="21"/>
                      <w:lang w:val="en-US" w:eastAsia="zh-CN"/>
                    </w:rPr>
                    <w:t>0.1016</w:t>
                  </w:r>
                </w:p>
              </w:tc>
              <w:tc>
                <w:tcPr>
                  <w:tcW w:w="920" w:type="pct"/>
                  <w:tcBorders>
                    <w:top w:val="single" w:color="auto" w:sz="12" w:space="0"/>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cs="Times New Roman"/>
                      <w:b w:val="0"/>
                      <w:bCs/>
                      <w:color w:val="auto"/>
                      <w:sz w:val="21"/>
                      <w:szCs w:val="21"/>
                    </w:rPr>
                    <w:t>0.0</w:t>
                  </w:r>
                  <w:r>
                    <w:rPr>
                      <w:rFonts w:hint="eastAsia" w:cs="Times New Roman"/>
                      <w:b w:val="0"/>
                      <w:bCs/>
                      <w:color w:val="auto"/>
                      <w:sz w:val="21"/>
                      <w:szCs w:val="21"/>
                      <w:lang w:val="en-US" w:eastAsia="zh-CN"/>
                    </w:rPr>
                    <w:t>102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4" w:type="pct"/>
                  <w:tcBorders>
                    <w:tl2br w:val="nil"/>
                    <w:tr2bl w:val="nil"/>
                  </w:tcBorders>
                  <w:vAlign w:val="center"/>
                </w:tcPr>
                <w:p>
                  <w:pPr>
                    <w:pStyle w:val="6"/>
                    <w:spacing w:line="240" w:lineRule="auto"/>
                    <w:ind w:firstLine="0" w:firstLineChars="0"/>
                    <w:jc w:val="center"/>
                    <w:outlineLvl w:val="2"/>
                    <w:rPr>
                      <w:rFonts w:cs="Times New Roman"/>
                      <w:b w:val="0"/>
                      <w:bCs/>
                      <w:color w:val="auto"/>
                      <w:sz w:val="21"/>
                      <w:szCs w:val="21"/>
                    </w:rPr>
                  </w:pPr>
                  <w:r>
                    <w:rPr>
                      <w:rFonts w:hint="eastAsia" w:cs="Times New Roman"/>
                      <w:b w:val="0"/>
                      <w:bCs/>
                      <w:color w:val="auto"/>
                      <w:sz w:val="21"/>
                      <w:szCs w:val="21"/>
                    </w:rPr>
                    <w:t>现有</w:t>
                  </w:r>
                  <w:r>
                    <w:rPr>
                      <w:rFonts w:cs="Times New Roman"/>
                      <w:b w:val="0"/>
                      <w:bCs/>
                      <w:color w:val="auto"/>
                      <w:sz w:val="21"/>
                      <w:szCs w:val="21"/>
                    </w:rPr>
                    <w:t>项目总量控制指标</w:t>
                  </w:r>
                </w:p>
              </w:tc>
              <w:tc>
                <w:tcPr>
                  <w:tcW w:w="849" w:type="pct"/>
                  <w:tcBorders>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hint="eastAsia" w:cs="Times New Roman"/>
                      <w:b w:val="0"/>
                      <w:bCs/>
                      <w:color w:val="auto"/>
                      <w:sz w:val="21"/>
                      <w:szCs w:val="21"/>
                    </w:rPr>
                    <w:t>1.</w:t>
                  </w:r>
                  <w:r>
                    <w:rPr>
                      <w:rFonts w:hint="eastAsia" w:cs="Times New Roman"/>
                      <w:b w:val="0"/>
                      <w:bCs/>
                      <w:color w:val="auto"/>
                      <w:sz w:val="21"/>
                      <w:szCs w:val="21"/>
                      <w:lang w:val="en-US" w:eastAsia="zh-CN"/>
                    </w:rPr>
                    <w:t>057</w:t>
                  </w:r>
                </w:p>
              </w:tc>
              <w:tc>
                <w:tcPr>
                  <w:tcW w:w="859" w:type="pct"/>
                  <w:tcBorders>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hint="eastAsia" w:cs="Times New Roman"/>
                      <w:b w:val="0"/>
                      <w:bCs/>
                      <w:color w:val="auto"/>
                      <w:sz w:val="21"/>
                      <w:szCs w:val="21"/>
                    </w:rPr>
                    <w:t>3.519</w:t>
                  </w:r>
                </w:p>
              </w:tc>
              <w:tc>
                <w:tcPr>
                  <w:tcW w:w="855" w:type="pct"/>
                  <w:tcBorders>
                    <w:tl2br w:val="nil"/>
                    <w:tr2bl w:val="nil"/>
                  </w:tcBorders>
                  <w:vAlign w:val="center"/>
                </w:tcPr>
                <w:p>
                  <w:pPr>
                    <w:pStyle w:val="6"/>
                    <w:spacing w:line="240" w:lineRule="auto"/>
                    <w:ind w:firstLine="0" w:firstLineChars="0"/>
                    <w:jc w:val="center"/>
                    <w:outlineLvl w:val="2"/>
                    <w:rPr>
                      <w:rFonts w:cs="Times New Roman"/>
                      <w:b w:val="0"/>
                      <w:bCs/>
                      <w:color w:val="auto"/>
                      <w:sz w:val="21"/>
                      <w:szCs w:val="21"/>
                    </w:rPr>
                  </w:pPr>
                  <w:r>
                    <w:rPr>
                      <w:rFonts w:hint="eastAsia" w:cs="Times New Roman"/>
                      <w:b w:val="0"/>
                      <w:bCs/>
                      <w:color w:val="auto"/>
                      <w:sz w:val="21"/>
                      <w:szCs w:val="21"/>
                    </w:rPr>
                    <w:t>4.2435</w:t>
                  </w:r>
                </w:p>
              </w:tc>
              <w:tc>
                <w:tcPr>
                  <w:tcW w:w="920" w:type="pct"/>
                  <w:tcBorders>
                    <w:tl2br w:val="nil"/>
                    <w:tr2bl w:val="nil"/>
                  </w:tcBorders>
                  <w:vAlign w:val="center"/>
                </w:tcPr>
                <w:p>
                  <w:pPr>
                    <w:pStyle w:val="6"/>
                    <w:spacing w:line="240" w:lineRule="auto"/>
                    <w:ind w:firstLine="0" w:firstLineChars="0"/>
                    <w:jc w:val="center"/>
                    <w:outlineLvl w:val="2"/>
                    <w:rPr>
                      <w:rFonts w:cs="Times New Roman"/>
                      <w:b w:val="0"/>
                      <w:bCs/>
                      <w:color w:val="auto"/>
                      <w:sz w:val="21"/>
                      <w:szCs w:val="21"/>
                    </w:rPr>
                  </w:pPr>
                  <w:r>
                    <w:rPr>
                      <w:rFonts w:hint="eastAsia" w:cs="Times New Roman"/>
                      <w:b w:val="0"/>
                      <w:bCs/>
                      <w:color w:val="auto"/>
                      <w:sz w:val="21"/>
                      <w:szCs w:val="21"/>
                    </w:rPr>
                    <w:t>0.4244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4" w:type="pct"/>
                  <w:tcBorders>
                    <w:tl2br w:val="nil"/>
                    <w:tr2bl w:val="nil"/>
                  </w:tcBorders>
                  <w:vAlign w:val="center"/>
                </w:tcPr>
                <w:p>
                  <w:pPr>
                    <w:pStyle w:val="6"/>
                    <w:spacing w:line="240" w:lineRule="auto"/>
                    <w:ind w:firstLine="0" w:firstLineChars="0"/>
                    <w:jc w:val="center"/>
                    <w:outlineLvl w:val="2"/>
                    <w:rPr>
                      <w:rFonts w:cs="Times New Roman"/>
                      <w:b w:val="0"/>
                      <w:bCs/>
                      <w:color w:val="auto"/>
                      <w:sz w:val="21"/>
                      <w:szCs w:val="21"/>
                    </w:rPr>
                  </w:pPr>
                  <w:r>
                    <w:rPr>
                      <w:rFonts w:cs="Times New Roman"/>
                      <w:b w:val="0"/>
                      <w:bCs/>
                      <w:color w:val="auto"/>
                      <w:sz w:val="21"/>
                      <w:szCs w:val="21"/>
                    </w:rPr>
                    <w:t>增减量</w:t>
                  </w:r>
                </w:p>
              </w:tc>
              <w:tc>
                <w:tcPr>
                  <w:tcW w:w="849" w:type="pct"/>
                  <w:tcBorders>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cs="Times New Roman"/>
                      <w:b w:val="0"/>
                      <w:bCs/>
                      <w:color w:val="auto"/>
                      <w:sz w:val="21"/>
                      <w:szCs w:val="21"/>
                    </w:rPr>
                    <w:t>+</w:t>
                  </w:r>
                  <w:r>
                    <w:rPr>
                      <w:rFonts w:hint="eastAsia" w:cs="Times New Roman"/>
                      <w:b w:val="0"/>
                      <w:bCs/>
                      <w:color w:val="auto"/>
                      <w:sz w:val="21"/>
                      <w:szCs w:val="21"/>
                    </w:rPr>
                    <w:t>0.</w:t>
                  </w:r>
                  <w:r>
                    <w:rPr>
                      <w:rFonts w:hint="eastAsia" w:cs="Times New Roman"/>
                      <w:b w:val="0"/>
                      <w:bCs/>
                      <w:color w:val="auto"/>
                      <w:sz w:val="21"/>
                      <w:szCs w:val="21"/>
                      <w:lang w:val="en-US" w:eastAsia="zh-CN"/>
                    </w:rPr>
                    <w:t>599</w:t>
                  </w:r>
                </w:p>
              </w:tc>
              <w:tc>
                <w:tcPr>
                  <w:tcW w:w="859" w:type="pct"/>
                  <w:tcBorders>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cs="Times New Roman"/>
                      <w:b w:val="0"/>
                      <w:bCs/>
                      <w:color w:val="auto"/>
                      <w:sz w:val="21"/>
                      <w:szCs w:val="21"/>
                    </w:rPr>
                    <w:t>+</w:t>
                  </w:r>
                  <w:r>
                    <w:rPr>
                      <w:rFonts w:hint="eastAsia" w:cs="Times New Roman"/>
                      <w:b w:val="0"/>
                      <w:bCs/>
                      <w:color w:val="auto"/>
                      <w:sz w:val="21"/>
                      <w:szCs w:val="21"/>
                    </w:rPr>
                    <w:t>0.5</w:t>
                  </w:r>
                  <w:r>
                    <w:rPr>
                      <w:rFonts w:hint="eastAsia" w:cs="Times New Roman"/>
                      <w:b w:val="0"/>
                      <w:bCs/>
                      <w:color w:val="auto"/>
                      <w:sz w:val="21"/>
                      <w:szCs w:val="21"/>
                      <w:lang w:val="en-US" w:eastAsia="zh-CN"/>
                    </w:rPr>
                    <w:t>72</w:t>
                  </w:r>
                </w:p>
              </w:tc>
              <w:tc>
                <w:tcPr>
                  <w:tcW w:w="855" w:type="pct"/>
                  <w:tcBorders>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cs="Times New Roman"/>
                      <w:b w:val="0"/>
                      <w:bCs/>
                      <w:color w:val="auto"/>
                      <w:sz w:val="21"/>
                      <w:szCs w:val="21"/>
                    </w:rPr>
                    <w:t>+0</w:t>
                  </w:r>
                  <w:r>
                    <w:rPr>
                      <w:rFonts w:hint="eastAsia" w:cs="Times New Roman"/>
                      <w:b w:val="0"/>
                      <w:bCs/>
                      <w:color w:val="auto"/>
                      <w:sz w:val="21"/>
                      <w:szCs w:val="21"/>
                      <w:lang w:val="en-US" w:eastAsia="zh-CN"/>
                    </w:rPr>
                    <w:t>.1016</w:t>
                  </w:r>
                </w:p>
              </w:tc>
              <w:tc>
                <w:tcPr>
                  <w:tcW w:w="920" w:type="pct"/>
                  <w:tcBorders>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cs="Times New Roman"/>
                      <w:b w:val="0"/>
                      <w:bCs/>
                      <w:color w:val="auto"/>
                      <w:sz w:val="21"/>
                      <w:szCs w:val="21"/>
                    </w:rPr>
                    <w:t>+0.0</w:t>
                  </w:r>
                  <w:r>
                    <w:rPr>
                      <w:rFonts w:hint="eastAsia" w:cs="Times New Roman"/>
                      <w:b w:val="0"/>
                      <w:bCs/>
                      <w:color w:val="auto"/>
                      <w:sz w:val="21"/>
                      <w:szCs w:val="21"/>
                      <w:lang w:val="en-US" w:eastAsia="zh-CN"/>
                    </w:rPr>
                    <w:t>102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4" w:type="pct"/>
                  <w:tcBorders>
                    <w:tl2br w:val="nil"/>
                    <w:tr2bl w:val="nil"/>
                  </w:tcBorders>
                  <w:vAlign w:val="center"/>
                </w:tcPr>
                <w:p>
                  <w:pPr>
                    <w:pStyle w:val="6"/>
                    <w:spacing w:line="240" w:lineRule="auto"/>
                    <w:ind w:firstLine="0" w:firstLineChars="0"/>
                    <w:jc w:val="center"/>
                    <w:outlineLvl w:val="2"/>
                    <w:rPr>
                      <w:rFonts w:cs="Times New Roman"/>
                      <w:b w:val="0"/>
                      <w:bCs/>
                      <w:color w:val="auto"/>
                      <w:sz w:val="21"/>
                      <w:szCs w:val="21"/>
                    </w:rPr>
                  </w:pPr>
                  <w:r>
                    <w:rPr>
                      <w:rFonts w:cs="Times New Roman"/>
                      <w:b w:val="0"/>
                      <w:bCs/>
                      <w:color w:val="auto"/>
                      <w:sz w:val="21"/>
                      <w:szCs w:val="21"/>
                    </w:rPr>
                    <w:t>总排放量</w:t>
                  </w:r>
                </w:p>
              </w:tc>
              <w:tc>
                <w:tcPr>
                  <w:tcW w:w="849" w:type="pct"/>
                  <w:tcBorders>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hint="eastAsia" w:cs="Times New Roman"/>
                      <w:b w:val="0"/>
                      <w:bCs/>
                      <w:color w:val="auto"/>
                      <w:sz w:val="21"/>
                      <w:szCs w:val="21"/>
                      <w:lang w:val="en-US" w:eastAsia="zh-CN"/>
                    </w:rPr>
                    <w:t>1.656</w:t>
                  </w:r>
                </w:p>
              </w:tc>
              <w:tc>
                <w:tcPr>
                  <w:tcW w:w="859" w:type="pct"/>
                  <w:tcBorders>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hint="eastAsia" w:cs="Times New Roman"/>
                      <w:b w:val="0"/>
                      <w:bCs/>
                      <w:color w:val="auto"/>
                      <w:sz w:val="21"/>
                      <w:szCs w:val="21"/>
                    </w:rPr>
                    <w:t>4.0</w:t>
                  </w:r>
                  <w:r>
                    <w:rPr>
                      <w:rFonts w:hint="eastAsia" w:cs="Times New Roman"/>
                      <w:b w:val="0"/>
                      <w:bCs/>
                      <w:color w:val="auto"/>
                      <w:sz w:val="21"/>
                      <w:szCs w:val="21"/>
                      <w:lang w:val="en-US" w:eastAsia="zh-CN"/>
                    </w:rPr>
                    <w:t>91</w:t>
                  </w:r>
                </w:p>
              </w:tc>
              <w:tc>
                <w:tcPr>
                  <w:tcW w:w="855" w:type="pct"/>
                  <w:tcBorders>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hint="eastAsia" w:cs="Times New Roman"/>
                      <w:b w:val="0"/>
                      <w:bCs/>
                      <w:color w:val="auto"/>
                      <w:sz w:val="21"/>
                      <w:szCs w:val="21"/>
                    </w:rPr>
                    <w:t>4.</w:t>
                  </w:r>
                  <w:r>
                    <w:rPr>
                      <w:rFonts w:hint="eastAsia" w:cs="Times New Roman"/>
                      <w:b w:val="0"/>
                      <w:bCs/>
                      <w:color w:val="auto"/>
                      <w:sz w:val="21"/>
                      <w:szCs w:val="21"/>
                      <w:lang w:val="en-US" w:eastAsia="zh-CN"/>
                    </w:rPr>
                    <w:t>3451</w:t>
                  </w:r>
                </w:p>
              </w:tc>
              <w:tc>
                <w:tcPr>
                  <w:tcW w:w="920" w:type="pct"/>
                  <w:tcBorders>
                    <w:tl2br w:val="nil"/>
                    <w:tr2bl w:val="nil"/>
                  </w:tcBorders>
                  <w:vAlign w:val="center"/>
                </w:tcPr>
                <w:p>
                  <w:pPr>
                    <w:pStyle w:val="6"/>
                    <w:spacing w:line="240" w:lineRule="auto"/>
                    <w:ind w:firstLine="0" w:firstLineChars="0"/>
                    <w:jc w:val="center"/>
                    <w:outlineLvl w:val="2"/>
                    <w:rPr>
                      <w:rFonts w:hint="default" w:cs="Times New Roman" w:eastAsiaTheme="minorEastAsia"/>
                      <w:b w:val="0"/>
                      <w:bCs/>
                      <w:color w:val="auto"/>
                      <w:sz w:val="21"/>
                      <w:szCs w:val="21"/>
                      <w:lang w:val="en-US" w:eastAsia="zh-CN"/>
                    </w:rPr>
                  </w:pPr>
                  <w:r>
                    <w:rPr>
                      <w:rFonts w:hint="eastAsia" w:cs="Times New Roman"/>
                      <w:b w:val="0"/>
                      <w:bCs/>
                      <w:color w:val="auto"/>
                      <w:sz w:val="21"/>
                      <w:szCs w:val="21"/>
                    </w:rPr>
                    <w:t>0.4</w:t>
                  </w:r>
                  <w:r>
                    <w:rPr>
                      <w:rFonts w:hint="eastAsia" w:cs="Times New Roman"/>
                      <w:b w:val="0"/>
                      <w:bCs/>
                      <w:color w:val="auto"/>
                      <w:sz w:val="21"/>
                      <w:szCs w:val="21"/>
                      <w:lang w:val="en-US" w:eastAsia="zh-CN"/>
                    </w:rPr>
                    <w:t>346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4" w:type="pct"/>
                  <w:tcBorders>
                    <w:tl2br w:val="nil"/>
                    <w:tr2bl w:val="nil"/>
                  </w:tcBorders>
                  <w:vAlign w:val="center"/>
                </w:tcPr>
                <w:p>
                  <w:pPr>
                    <w:pStyle w:val="6"/>
                    <w:spacing w:line="240" w:lineRule="auto"/>
                    <w:ind w:firstLine="0" w:firstLineChars="0"/>
                    <w:jc w:val="center"/>
                    <w:outlineLvl w:val="2"/>
                    <w:rPr>
                      <w:rFonts w:cs="Times New Roman"/>
                      <w:b w:val="0"/>
                      <w:bCs/>
                      <w:color w:val="auto"/>
                      <w:sz w:val="21"/>
                      <w:szCs w:val="21"/>
                    </w:rPr>
                  </w:pPr>
                  <w:r>
                    <w:rPr>
                      <w:rFonts w:hint="eastAsia" w:cs="Times New Roman"/>
                      <w:b w:val="0"/>
                      <w:bCs/>
                      <w:color w:val="auto"/>
                      <w:sz w:val="21"/>
                      <w:szCs w:val="21"/>
                    </w:rPr>
                    <w:t>排污权已</w:t>
                  </w:r>
                  <w:r>
                    <w:rPr>
                      <w:rFonts w:cs="Times New Roman"/>
                      <w:b w:val="0"/>
                      <w:bCs/>
                      <w:color w:val="auto"/>
                      <w:sz w:val="21"/>
                      <w:szCs w:val="21"/>
                    </w:rPr>
                    <w:t>购买总量指标</w:t>
                  </w:r>
                </w:p>
              </w:tc>
              <w:tc>
                <w:tcPr>
                  <w:tcW w:w="849" w:type="pct"/>
                  <w:tcBorders>
                    <w:tl2br w:val="nil"/>
                    <w:tr2bl w:val="nil"/>
                  </w:tcBorders>
                  <w:vAlign w:val="center"/>
                </w:tcPr>
                <w:p>
                  <w:pPr>
                    <w:pStyle w:val="6"/>
                    <w:spacing w:line="240" w:lineRule="auto"/>
                    <w:ind w:firstLine="0" w:firstLineChars="0"/>
                    <w:jc w:val="center"/>
                    <w:outlineLvl w:val="2"/>
                    <w:rPr>
                      <w:rFonts w:cs="Times New Roman"/>
                      <w:b w:val="0"/>
                      <w:bCs/>
                      <w:color w:val="auto"/>
                      <w:sz w:val="21"/>
                      <w:szCs w:val="21"/>
                    </w:rPr>
                  </w:pPr>
                  <w:r>
                    <w:rPr>
                      <w:rFonts w:cs="Times New Roman"/>
                      <w:b w:val="0"/>
                      <w:bCs/>
                      <w:color w:val="auto"/>
                      <w:sz w:val="21"/>
                      <w:szCs w:val="21"/>
                    </w:rPr>
                    <w:t>3.5</w:t>
                  </w:r>
                </w:p>
              </w:tc>
              <w:tc>
                <w:tcPr>
                  <w:tcW w:w="859" w:type="pct"/>
                  <w:tcBorders>
                    <w:tl2br w:val="nil"/>
                    <w:tr2bl w:val="nil"/>
                  </w:tcBorders>
                  <w:vAlign w:val="center"/>
                </w:tcPr>
                <w:p>
                  <w:pPr>
                    <w:pStyle w:val="6"/>
                    <w:spacing w:line="240" w:lineRule="auto"/>
                    <w:ind w:firstLine="0" w:firstLineChars="0"/>
                    <w:jc w:val="center"/>
                    <w:outlineLvl w:val="2"/>
                    <w:rPr>
                      <w:rFonts w:cs="Times New Roman"/>
                      <w:b w:val="0"/>
                      <w:bCs/>
                      <w:color w:val="auto"/>
                      <w:sz w:val="21"/>
                      <w:szCs w:val="21"/>
                    </w:rPr>
                  </w:pPr>
                  <w:r>
                    <w:rPr>
                      <w:rFonts w:cs="Times New Roman"/>
                      <w:b w:val="0"/>
                      <w:bCs/>
                      <w:color w:val="auto"/>
                      <w:sz w:val="21"/>
                      <w:szCs w:val="21"/>
                    </w:rPr>
                    <w:t>16.5</w:t>
                  </w:r>
                </w:p>
              </w:tc>
              <w:tc>
                <w:tcPr>
                  <w:tcW w:w="855" w:type="pct"/>
                  <w:tcBorders>
                    <w:tl2br w:val="nil"/>
                    <w:tr2bl w:val="nil"/>
                  </w:tcBorders>
                  <w:vAlign w:val="center"/>
                </w:tcPr>
                <w:p>
                  <w:pPr>
                    <w:pStyle w:val="6"/>
                    <w:spacing w:line="240" w:lineRule="auto"/>
                    <w:ind w:firstLine="0" w:firstLineChars="0"/>
                    <w:jc w:val="center"/>
                    <w:outlineLvl w:val="2"/>
                    <w:rPr>
                      <w:rFonts w:cs="Times New Roman"/>
                      <w:b w:val="0"/>
                      <w:bCs/>
                      <w:color w:val="auto"/>
                      <w:sz w:val="21"/>
                      <w:szCs w:val="21"/>
                    </w:rPr>
                  </w:pPr>
                  <w:r>
                    <w:rPr>
                      <w:rFonts w:cs="Times New Roman"/>
                      <w:b w:val="0"/>
                      <w:bCs/>
                      <w:color w:val="auto"/>
                      <w:sz w:val="21"/>
                      <w:szCs w:val="21"/>
                    </w:rPr>
                    <w:t>23</w:t>
                  </w:r>
                </w:p>
              </w:tc>
              <w:tc>
                <w:tcPr>
                  <w:tcW w:w="920" w:type="pct"/>
                  <w:tcBorders>
                    <w:tl2br w:val="nil"/>
                    <w:tr2bl w:val="nil"/>
                  </w:tcBorders>
                  <w:vAlign w:val="center"/>
                </w:tcPr>
                <w:p>
                  <w:pPr>
                    <w:pStyle w:val="6"/>
                    <w:spacing w:line="240" w:lineRule="auto"/>
                    <w:ind w:firstLine="0" w:firstLineChars="0"/>
                    <w:jc w:val="center"/>
                    <w:outlineLvl w:val="2"/>
                    <w:rPr>
                      <w:rFonts w:cs="Times New Roman"/>
                      <w:b w:val="0"/>
                      <w:bCs/>
                      <w:color w:val="auto"/>
                      <w:sz w:val="21"/>
                      <w:szCs w:val="21"/>
                    </w:rPr>
                  </w:pPr>
                  <w:r>
                    <w:rPr>
                      <w:rFonts w:cs="Times New Roman"/>
                      <w:b w:val="0"/>
                      <w:bCs/>
                      <w:color w:val="auto"/>
                      <w:sz w:val="21"/>
                      <w:szCs w:val="21"/>
                    </w:rPr>
                    <w:t>1.5</w:t>
                  </w:r>
                </w:p>
              </w:tc>
            </w:tr>
          </w:tbl>
          <w:p>
            <w:pPr>
              <w:ind w:firstLine="480" w:firstLineChars="200"/>
              <w:rPr>
                <w:rFonts w:ascii="Times New Roman" w:hAnsi="Times New Roman" w:cs="Times New Roman"/>
                <w:color w:val="auto"/>
              </w:rPr>
            </w:pPr>
            <w:r>
              <w:rPr>
                <w:rFonts w:hint="eastAsia" w:ascii="Times New Roman" w:hAnsi="Times New Roman" w:cs="Times New Roman"/>
                <w:color w:val="auto"/>
              </w:rPr>
              <w:t>故本项目无需申请补充购买总量。</w:t>
            </w:r>
          </w:p>
          <w:p>
            <w:pPr>
              <w:ind w:firstLine="480" w:firstLineChars="200"/>
              <w:rPr>
                <w:rFonts w:ascii="Times New Roman" w:hAnsi="Times New Roman" w:cs="Times New Roman"/>
                <w:color w:val="auto"/>
              </w:rPr>
            </w:pPr>
          </w:p>
        </w:tc>
      </w:tr>
    </w:tbl>
    <w:p>
      <w:pPr>
        <w:pStyle w:val="15"/>
        <w:ind w:firstLine="240"/>
        <w:rPr>
          <w:color w:val="auto"/>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4"/>
        <w:rPr>
          <w:color w:val="auto"/>
        </w:rPr>
      </w:pPr>
      <w:bookmarkStart w:id="5" w:name="_Toc29678"/>
      <w:r>
        <w:rPr>
          <w:rFonts w:hint="eastAsia"/>
          <w:color w:val="auto"/>
        </w:rPr>
        <w:t>五、建设项目工程分析</w:t>
      </w:r>
      <w:bookmarkEnd w:id="5"/>
    </w:p>
    <w:tbl>
      <w:tblPr>
        <w:tblStyle w:val="18"/>
        <w:tblW w:w="9286"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9286" w:type="dxa"/>
            <w:tcBorders>
              <w:tl2br w:val="nil"/>
              <w:tr2bl w:val="nil"/>
            </w:tcBorders>
          </w:tcPr>
          <w:p>
            <w:pPr>
              <w:pStyle w:val="5"/>
              <w:ind w:firstLine="562"/>
              <w:outlineLvl w:val="1"/>
              <w:rPr>
                <w:color w:val="auto"/>
              </w:rPr>
            </w:pPr>
            <w:r>
              <w:rPr>
                <w:color w:val="auto"/>
              </w:rPr>
              <w:t>1、施工期工艺流程及产污环节</w:t>
            </w:r>
          </w:p>
          <w:p>
            <w:pPr>
              <w:ind w:firstLine="480" w:firstLineChars="200"/>
              <w:rPr>
                <w:color w:val="auto"/>
              </w:rPr>
            </w:pPr>
            <w:r>
              <w:rPr>
                <w:color w:val="auto"/>
              </w:rPr>
              <w:t>本项目在现有厂区内进行。</w:t>
            </w:r>
            <w:r>
              <w:rPr>
                <w:rFonts w:hint="eastAsia"/>
                <w:color w:val="auto"/>
              </w:rPr>
              <w:t>在</w:t>
            </w:r>
            <w:r>
              <w:rPr>
                <w:color w:val="auto"/>
              </w:rPr>
              <w:t>现有锅炉房</w:t>
            </w:r>
            <w:r>
              <w:rPr>
                <w:rFonts w:ascii="Times New Roman" w:hAnsi="Times New Roman" w:cs="Times New Roman"/>
                <w:color w:val="auto"/>
              </w:rPr>
              <w:t>新增1台15t/h的天然气锅炉和1根2</w:t>
            </w:r>
            <w:r>
              <w:rPr>
                <w:rFonts w:hint="eastAsia" w:ascii="Times New Roman" w:hAnsi="Times New Roman" w:cs="Times New Roman"/>
                <w:color w:val="auto"/>
                <w:lang w:val="en-US" w:eastAsia="zh-CN"/>
              </w:rPr>
              <w:t>3</w:t>
            </w:r>
            <w:r>
              <w:rPr>
                <w:rFonts w:ascii="Times New Roman" w:hAnsi="Times New Roman" w:cs="Times New Roman"/>
                <w:color w:val="auto"/>
              </w:rPr>
              <w:t>m烟囱</w:t>
            </w:r>
            <w:r>
              <w:rPr>
                <w:color w:val="auto"/>
              </w:rPr>
              <w:t>。水、电齐全，施工期仅为设备的安装。施工期流程简述如下图所示：</w:t>
            </w:r>
          </w:p>
          <w:p>
            <w:pPr>
              <w:pStyle w:val="6"/>
              <w:ind w:firstLine="482"/>
              <w:outlineLvl w:val="2"/>
              <w:rPr>
                <w:color w:val="auto"/>
              </w:rPr>
            </w:pPr>
            <w:r>
              <w:rPr>
                <w:color w:val="auto"/>
              </w:rPr>
              <w:t>1.1流程简述</w:t>
            </w:r>
          </w:p>
          <w:p>
            <w:pPr>
              <w:rPr>
                <w:color w:val="auto"/>
              </w:rPr>
            </w:pPr>
            <w:r>
              <w:rPr>
                <w:color w:val="auto"/>
              </w:rPr>
              <w:pict>
                <v:shape id="_x0000_s1026" o:spid="_x0000_s1026" o:spt="75" type="#_x0000_t75" style="position:absolute;left:0pt;margin-left:68.9pt;margin-top:10.15pt;height:109.65pt;width:315.65pt;z-index:251658240;mso-width-relative:page;mso-height-relative:page;" o:ole="t" filled="f" o:preferrelative="t" stroked="f" coordsize="21600,21600">
                  <v:path/>
                  <v:fill on="f" focussize="0,0"/>
                  <v:stroke on="f" joinstyle="miter"/>
                  <v:imagedata r:id="rId10" o:title=""/>
                  <o:lock v:ext="edit" aspectratio="t"/>
                </v:shape>
                <o:OLEObject Type="Embed" ProgID="Visio.Drawing.11" ShapeID="_x0000_s1026" DrawAspect="Content" ObjectID="_1468075726" r:id="rId9">
                  <o:LockedField>false</o:LockedField>
                </o:OLEObject>
              </w:pict>
            </w:r>
          </w:p>
          <w:p>
            <w:pPr>
              <w:rPr>
                <w:color w:val="auto"/>
              </w:rPr>
            </w:pPr>
          </w:p>
          <w:p>
            <w:pPr>
              <w:rPr>
                <w:color w:val="auto"/>
              </w:rPr>
            </w:pPr>
          </w:p>
          <w:p>
            <w:pPr>
              <w:rPr>
                <w:color w:val="auto"/>
              </w:rPr>
            </w:pPr>
          </w:p>
          <w:p>
            <w:pPr>
              <w:spacing w:before="156" w:beforeLines="50"/>
              <w:jc w:val="center"/>
              <w:rPr>
                <w:color w:val="auto"/>
              </w:rPr>
            </w:pPr>
            <w:r>
              <w:rPr>
                <w:rFonts w:ascii="Times New Roman" w:hAnsi="Times New Roman" w:cs="Times New Roman"/>
                <w:b/>
                <w:bCs/>
                <w:color w:val="auto"/>
              </w:rPr>
              <w:t>图5-1  施工期工艺流程图</w:t>
            </w:r>
          </w:p>
          <w:p>
            <w:pPr>
              <w:pStyle w:val="6"/>
              <w:ind w:firstLine="482"/>
              <w:outlineLvl w:val="2"/>
              <w:rPr>
                <w:color w:val="auto"/>
              </w:rPr>
            </w:pPr>
            <w:r>
              <w:rPr>
                <w:color w:val="auto"/>
              </w:rPr>
              <w:t>1.2施工期主要污染工序</w:t>
            </w:r>
          </w:p>
          <w:p>
            <w:pPr>
              <w:ind w:firstLine="480" w:firstLineChars="200"/>
              <w:rPr>
                <w:rFonts w:ascii="Times New Roman" w:hAnsi="Times New Roman" w:cs="Times New Roman"/>
                <w:color w:val="auto"/>
              </w:rPr>
            </w:pPr>
            <w:r>
              <w:rPr>
                <w:rFonts w:ascii="Times New Roman" w:hAnsi="Times New Roman" w:cs="Times New Roman"/>
                <w:color w:val="auto"/>
              </w:rPr>
              <w:t>（1）废气</w:t>
            </w:r>
          </w:p>
          <w:p>
            <w:pPr>
              <w:ind w:firstLine="480" w:firstLineChars="200"/>
              <w:rPr>
                <w:rFonts w:ascii="Times New Roman" w:hAnsi="Times New Roman" w:cs="Times New Roman"/>
                <w:color w:val="auto"/>
              </w:rPr>
            </w:pPr>
            <w:r>
              <w:rPr>
                <w:rFonts w:ascii="Times New Roman" w:hAnsi="Times New Roman" w:cs="Times New Roman"/>
                <w:color w:val="auto"/>
              </w:rPr>
              <w:t>本项目施工期废气主要为新燃气锅炉和2</w:t>
            </w:r>
            <w:r>
              <w:rPr>
                <w:rFonts w:hint="eastAsia" w:ascii="Times New Roman" w:hAnsi="Times New Roman" w:cs="Times New Roman"/>
                <w:color w:val="auto"/>
                <w:lang w:val="en-US" w:eastAsia="zh-CN"/>
              </w:rPr>
              <w:t>3</w:t>
            </w:r>
            <w:r>
              <w:rPr>
                <w:rFonts w:ascii="Times New Roman" w:hAnsi="Times New Roman" w:cs="Times New Roman"/>
                <w:color w:val="auto"/>
              </w:rPr>
              <w:t>m烟囱安装时产生的扬尘，施工机械、运输车辆产生的尾气等。</w:t>
            </w:r>
          </w:p>
          <w:p>
            <w:pPr>
              <w:ind w:firstLine="480" w:firstLineChars="200"/>
              <w:rPr>
                <w:rFonts w:ascii="Times New Roman" w:hAnsi="Times New Roman" w:cs="Times New Roman"/>
                <w:color w:val="auto"/>
              </w:rPr>
            </w:pPr>
            <w:r>
              <w:rPr>
                <w:rFonts w:ascii="Times New Roman" w:hAnsi="Times New Roman" w:cs="Times New Roman"/>
                <w:color w:val="auto"/>
              </w:rPr>
              <w:t>（2）废水</w:t>
            </w:r>
          </w:p>
          <w:p>
            <w:pPr>
              <w:ind w:firstLine="480" w:firstLineChars="200"/>
              <w:rPr>
                <w:rFonts w:ascii="Times New Roman" w:hAnsi="Times New Roman" w:cs="Times New Roman"/>
                <w:color w:val="auto"/>
              </w:rPr>
            </w:pPr>
            <w:r>
              <w:rPr>
                <w:rFonts w:ascii="Times New Roman" w:hAnsi="Times New Roman" w:cs="Times New Roman"/>
                <w:color w:val="auto"/>
              </w:rPr>
              <w:t>施工期废水主要为施工人员的生活污水和施工废水。</w:t>
            </w:r>
          </w:p>
          <w:p>
            <w:pPr>
              <w:ind w:firstLine="480" w:firstLineChars="200"/>
              <w:rPr>
                <w:rFonts w:ascii="Times New Roman" w:hAnsi="Times New Roman" w:cs="Times New Roman"/>
                <w:color w:val="auto"/>
              </w:rPr>
            </w:pPr>
            <w:r>
              <w:rPr>
                <w:rFonts w:ascii="Times New Roman" w:hAnsi="Times New Roman" w:cs="Times New Roman"/>
                <w:color w:val="auto"/>
              </w:rPr>
              <w:t>（3）噪声</w:t>
            </w:r>
          </w:p>
          <w:p>
            <w:pPr>
              <w:ind w:firstLine="480" w:firstLineChars="200"/>
              <w:rPr>
                <w:rFonts w:ascii="Times New Roman" w:hAnsi="Times New Roman" w:cs="Times New Roman"/>
                <w:color w:val="auto"/>
              </w:rPr>
            </w:pPr>
            <w:r>
              <w:rPr>
                <w:rFonts w:ascii="Times New Roman" w:hAnsi="Times New Roman" w:cs="Times New Roman"/>
                <w:color w:val="auto"/>
              </w:rPr>
              <w:t>施工噪声主要来自锅炉安装等施工环节所产生的机械噪声和运输车辆产生的交通噪声。</w:t>
            </w:r>
          </w:p>
          <w:p>
            <w:pPr>
              <w:ind w:firstLine="480" w:firstLineChars="200"/>
              <w:rPr>
                <w:rFonts w:ascii="Times New Roman" w:hAnsi="Times New Roman" w:cs="Times New Roman"/>
                <w:color w:val="auto"/>
              </w:rPr>
            </w:pPr>
            <w:r>
              <w:rPr>
                <w:rFonts w:ascii="Times New Roman" w:hAnsi="Times New Roman" w:cs="Times New Roman"/>
                <w:color w:val="auto"/>
              </w:rPr>
              <w:t>（4）固废</w:t>
            </w:r>
          </w:p>
          <w:p>
            <w:pPr>
              <w:ind w:firstLine="480" w:firstLineChars="200"/>
              <w:rPr>
                <w:rFonts w:ascii="Times New Roman" w:hAnsi="Times New Roman" w:cs="Times New Roman"/>
                <w:color w:val="auto"/>
              </w:rPr>
            </w:pPr>
            <w:r>
              <w:rPr>
                <w:rFonts w:ascii="Times New Roman" w:hAnsi="Times New Roman" w:cs="Times New Roman"/>
                <w:color w:val="auto"/>
              </w:rPr>
              <w:t>施工期间主要固废为施工人员生活垃圾及少量建筑垃圾。</w:t>
            </w:r>
          </w:p>
          <w:p>
            <w:pPr>
              <w:pStyle w:val="5"/>
              <w:ind w:firstLine="562"/>
              <w:outlineLvl w:val="1"/>
              <w:rPr>
                <w:rFonts w:cs="Times New Roman"/>
                <w:color w:val="auto"/>
              </w:rPr>
            </w:pPr>
          </w:p>
          <w:p>
            <w:pPr>
              <w:pStyle w:val="5"/>
              <w:ind w:firstLine="562"/>
              <w:outlineLvl w:val="1"/>
              <w:rPr>
                <w:color w:val="auto"/>
              </w:rPr>
            </w:pPr>
          </w:p>
          <w:p>
            <w:pPr>
              <w:pStyle w:val="6"/>
              <w:ind w:firstLine="0" w:firstLineChars="0"/>
              <w:outlineLvl w:val="2"/>
              <w:rPr>
                <w:color w:val="auto"/>
              </w:rPr>
            </w:pPr>
          </w:p>
          <w:p>
            <w:pPr>
              <w:pStyle w:val="5"/>
              <w:ind w:firstLine="562"/>
              <w:outlineLvl w:val="1"/>
              <w:rPr>
                <w:color w:val="auto"/>
              </w:rPr>
            </w:pPr>
            <w:r>
              <w:rPr>
                <w:color w:val="auto"/>
              </w:rPr>
              <w:t>2、营运期工艺流程及产污环节</w:t>
            </w:r>
          </w:p>
          <w:p>
            <w:pPr>
              <w:pStyle w:val="6"/>
              <w:ind w:firstLine="482"/>
              <w:outlineLvl w:val="2"/>
              <w:rPr>
                <w:color w:val="auto"/>
              </w:rPr>
            </w:pPr>
            <w:r>
              <w:rPr>
                <w:color w:val="auto"/>
              </w:rPr>
              <w:t>2.1营运期流程简述</w:t>
            </w:r>
          </w:p>
          <w:p>
            <w:pPr>
              <w:rPr>
                <w:color w:val="auto"/>
              </w:rPr>
            </w:pPr>
            <w:r>
              <w:rPr>
                <w:color w:val="auto"/>
              </w:rPr>
              <w:pict>
                <v:shape id="_x0000_s1027" o:spid="_x0000_s1027" o:spt="75" type="#_x0000_t75" style="position:absolute;left:0pt;margin-left:30.4pt;margin-top:10.15pt;height:194.15pt;width:392.65pt;z-index:251659264;mso-width-relative:page;mso-height-relative:page;" o:ole="t" filled="f" o:preferrelative="t" stroked="f" coordsize="21600,21600">
                  <v:path/>
                  <v:fill on="f" focussize="0,0"/>
                  <v:stroke on="f" joinstyle="miter"/>
                  <v:imagedata r:id="rId12" o:title=""/>
                  <o:lock v:ext="edit" aspectratio="t"/>
                </v:shape>
                <o:OLEObject Type="Embed" ProgID="Visio.Drawing.11" ShapeID="_x0000_s1027" DrawAspect="Content" ObjectID="_1468075727" r:id="rId11">
                  <o:LockedField>false</o:LockedField>
                </o:OLEObject>
              </w:pic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jc w:val="center"/>
              <w:rPr>
                <w:rFonts w:hint="default" w:ascii="Times New Roman" w:hAnsi="Times New Roman" w:cs="Times New Roman"/>
                <w:color w:val="auto"/>
              </w:rPr>
            </w:pPr>
            <w:r>
              <w:rPr>
                <w:rFonts w:hint="default" w:ascii="Times New Roman" w:hAnsi="Times New Roman" w:cs="Times New Roman"/>
                <w:b/>
                <w:bCs/>
                <w:color w:val="auto"/>
              </w:rPr>
              <w:t>图5-2  营运期工艺流程图</w:t>
            </w:r>
          </w:p>
          <w:p>
            <w:pPr>
              <w:ind w:firstLine="480" w:firstLineChars="200"/>
              <w:rPr>
                <w:color w:val="auto"/>
              </w:rPr>
            </w:pPr>
            <w:r>
              <w:rPr>
                <w:color w:val="auto"/>
              </w:rPr>
              <w:t>工艺简介：</w:t>
            </w:r>
          </w:p>
          <w:p>
            <w:pPr>
              <w:ind w:firstLine="480" w:firstLineChars="200"/>
              <w:rPr>
                <w:color w:val="auto"/>
              </w:rPr>
            </w:pPr>
            <w:r>
              <w:rPr>
                <w:color w:val="auto"/>
              </w:rPr>
              <w:t>天然气经管道输送至燃气锅炉，经过燃烧加热使得锅炉中水转变为水蒸气；管道输送用于生产加热。</w:t>
            </w:r>
          </w:p>
          <w:p>
            <w:pPr>
              <w:pStyle w:val="6"/>
              <w:ind w:firstLine="482"/>
              <w:outlineLvl w:val="2"/>
              <w:rPr>
                <w:color w:val="auto"/>
              </w:rPr>
            </w:pPr>
            <w:r>
              <w:rPr>
                <w:color w:val="auto"/>
              </w:rPr>
              <w:t>2.2营运期主要污染工序</w:t>
            </w:r>
          </w:p>
          <w:p>
            <w:pPr>
              <w:ind w:firstLine="480" w:firstLineChars="200"/>
              <w:rPr>
                <w:color w:val="auto"/>
              </w:rPr>
            </w:pPr>
            <w:r>
              <w:rPr>
                <w:rFonts w:ascii="Times New Roman" w:hAnsi="Times New Roman" w:cs="Times New Roman"/>
                <w:color w:val="auto"/>
              </w:rPr>
              <w:t>根据建设单位提供资料，本项目产品方案、生产规模、生产工艺不变，仅新增一台15t/h 天然气锅炉以备不时</w:t>
            </w:r>
            <w:r>
              <w:rPr>
                <w:rFonts w:hint="eastAsia" w:ascii="Times New Roman" w:hAnsi="Times New Roman" w:cs="Times New Roman"/>
                <w:color w:val="auto"/>
              </w:rPr>
              <w:t>之</w:t>
            </w:r>
            <w:r>
              <w:rPr>
                <w:rFonts w:ascii="Times New Roman" w:hAnsi="Times New Roman" w:cs="Times New Roman"/>
                <w:color w:val="auto"/>
              </w:rPr>
              <w:t>需，因此本次环评仅对新增锅炉造成的变化情况进行评价，该项目的主体生产工艺的其他污染工序不变，本次</w:t>
            </w:r>
            <w:r>
              <w:rPr>
                <w:rFonts w:hint="eastAsia"/>
                <w:color w:val="auto"/>
              </w:rPr>
              <w:t>环评不作评价。</w:t>
            </w:r>
          </w:p>
          <w:p>
            <w:pPr>
              <w:numPr>
                <w:ilvl w:val="0"/>
                <w:numId w:val="9"/>
              </w:numPr>
              <w:ind w:firstLine="480" w:firstLineChars="200"/>
              <w:rPr>
                <w:rFonts w:ascii="Times New Roman" w:hAnsi="Times New Roman" w:cs="Times New Roman"/>
                <w:color w:val="auto"/>
              </w:rPr>
            </w:pPr>
            <w:r>
              <w:rPr>
                <w:rFonts w:ascii="Times New Roman" w:hAnsi="Times New Roman" w:cs="Times New Roman"/>
                <w:color w:val="auto"/>
              </w:rPr>
              <w:t>废水</w:t>
            </w:r>
          </w:p>
          <w:p>
            <w:pPr>
              <w:ind w:firstLine="480" w:firstLineChars="200"/>
              <w:rPr>
                <w:rFonts w:ascii="Times New Roman" w:hAnsi="Times New Roman" w:cs="Times New Roman"/>
                <w:color w:val="auto"/>
              </w:rPr>
            </w:pPr>
            <w:r>
              <w:rPr>
                <w:rFonts w:ascii="Times New Roman" w:hAnsi="Times New Roman" w:cs="Times New Roman"/>
                <w:color w:val="auto"/>
              </w:rPr>
              <w:t>本项目生产废水主要为燃气锅炉排污水及软水制备废水。本项目不新增职工定员，不新增生活污水。</w:t>
            </w:r>
          </w:p>
          <w:p>
            <w:pPr>
              <w:ind w:firstLine="480" w:firstLineChars="200"/>
              <w:rPr>
                <w:rFonts w:hint="eastAsia"/>
                <w:color w:val="auto"/>
              </w:rPr>
            </w:pPr>
            <w:r>
              <w:rPr>
                <w:rFonts w:ascii="Times New Roman" w:hAnsi="Times New Roman" w:cs="Times New Roman"/>
                <w:color w:val="auto"/>
              </w:rPr>
              <w:t>根据《第一次全国污染源普查工业污染源产排污系数手册》(2010年修订版) 燃气锅炉产污系数表可知:工业废水量(锅炉排污水+软化处理废水)的产污系数为13.56吨/万立方米-原料。本项目天然气使用量为149.87万m</w:t>
            </w:r>
            <w:r>
              <w:rPr>
                <w:rFonts w:ascii="Times New Roman" w:hAnsi="Times New Roman" w:cs="Times New Roman"/>
                <w:color w:val="auto"/>
                <w:vertAlign w:val="superscript"/>
              </w:rPr>
              <w:t>3</w:t>
            </w:r>
            <w:r>
              <w:rPr>
                <w:rFonts w:ascii="Times New Roman" w:hAnsi="Times New Roman" w:cs="Times New Roman"/>
                <w:color w:val="auto"/>
              </w:rPr>
              <w:t>/a</w:t>
            </w:r>
            <w:r>
              <w:rPr>
                <w:rFonts w:hint="eastAsia" w:ascii="Times New Roman" w:hAnsi="Times New Roman" w:cs="Times New Roman"/>
                <w:color w:val="auto"/>
                <w:lang w:eastAsia="zh-CN"/>
              </w:rPr>
              <w:t>，</w:t>
            </w:r>
            <w:r>
              <w:rPr>
                <w:rFonts w:ascii="Times New Roman" w:hAnsi="Times New Roman" w:cs="Times New Roman"/>
                <w:color w:val="auto"/>
              </w:rPr>
              <w:t>即软化处理废水和锅炉</w:t>
            </w:r>
            <w:r>
              <w:rPr>
                <w:rFonts w:hint="eastAsia" w:ascii="Times New Roman" w:hAnsi="Times New Roman" w:cs="Times New Roman"/>
                <w:color w:val="auto"/>
                <w:lang w:eastAsia="zh-CN"/>
              </w:rPr>
              <w:t>排污水</w:t>
            </w:r>
            <w:r>
              <w:rPr>
                <w:rFonts w:ascii="Times New Roman" w:hAnsi="Times New Roman" w:cs="Times New Roman"/>
                <w:color w:val="auto"/>
              </w:rPr>
              <w:t>产生量为2032.24t/a</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6.77m</w:t>
            </w:r>
            <w:r>
              <w:rPr>
                <w:rFonts w:hint="eastAsia" w:ascii="Times New Roman" w:hAnsi="Times New Roman" w:cs="Times New Roman"/>
                <w:color w:val="auto"/>
                <w:vertAlign w:val="superscript"/>
                <w:lang w:val="en-US" w:eastAsia="zh-CN"/>
              </w:rPr>
              <w:t>3</w:t>
            </w:r>
            <w:r>
              <w:rPr>
                <w:rFonts w:hint="eastAsia" w:ascii="Times New Roman" w:hAnsi="Times New Roman" w:cs="Times New Roman"/>
                <w:color w:val="auto"/>
                <w:lang w:val="en-US" w:eastAsia="zh-CN"/>
              </w:rPr>
              <w:t>/d）</w:t>
            </w:r>
            <w:r>
              <w:rPr>
                <w:rFonts w:ascii="Times New Roman" w:hAnsi="Times New Roman" w:cs="Times New Roman"/>
                <w:color w:val="auto"/>
              </w:rPr>
              <w:t>。经厂区现有污水处理站（600m</w:t>
            </w:r>
            <w:r>
              <w:rPr>
                <w:rFonts w:ascii="Times New Roman" w:hAnsi="Times New Roman" w:cs="Times New Roman"/>
                <w:color w:val="auto"/>
                <w:vertAlign w:val="superscript"/>
              </w:rPr>
              <w:t>3</w:t>
            </w:r>
            <w:r>
              <w:rPr>
                <w:rFonts w:ascii="Times New Roman" w:hAnsi="Times New Roman" w:cs="Times New Roman"/>
                <w:color w:val="auto"/>
              </w:rPr>
              <w:t>/d）处理后，由市政污水管网引入罗家坡污水污水处理厂处理，罗家坡污水处理厂出水执行《城镇污水处理厂污染物排放标准》( GB18918-2002)一级A标准。</w:t>
            </w:r>
          </w:p>
          <w:p>
            <w:pPr>
              <w:ind w:firstLine="480" w:firstLineChars="200"/>
              <w:rPr>
                <w:rFonts w:ascii="Times New Roman" w:hAnsi="Times New Roman" w:cs="Times New Roman"/>
                <w:color w:val="auto"/>
              </w:rPr>
            </w:pPr>
            <w:r>
              <w:rPr>
                <w:rFonts w:ascii="Times New Roman" w:hAnsi="Times New Roman" w:cs="Times New Roman"/>
                <w:color w:val="auto"/>
              </w:rPr>
              <w:t>（2）废气</w:t>
            </w:r>
          </w:p>
          <w:p>
            <w:pPr>
              <w:ind w:firstLine="480" w:firstLineChars="200"/>
              <w:rPr>
                <w:rFonts w:ascii="Times New Roman" w:hAnsi="Times New Roman" w:cs="Times New Roman"/>
                <w:color w:val="auto"/>
              </w:rPr>
            </w:pPr>
            <w:r>
              <w:rPr>
                <w:rFonts w:ascii="Times New Roman" w:hAnsi="Times New Roman" w:cs="Times New Roman"/>
                <w:color w:val="auto"/>
              </w:rPr>
              <w:t>项目改造后采用1台15t/h燃气锅炉供热并配备一台风机（风量14980m</w:t>
            </w:r>
            <w:r>
              <w:rPr>
                <w:rFonts w:ascii="Times New Roman" w:hAnsi="Times New Roman" w:cs="Times New Roman"/>
                <w:color w:val="auto"/>
                <w:vertAlign w:val="superscript"/>
              </w:rPr>
              <w:t>3</w:t>
            </w:r>
            <w:r>
              <w:rPr>
                <w:rFonts w:ascii="Times New Roman" w:hAnsi="Times New Roman" w:cs="Times New Roman"/>
                <w:color w:val="auto"/>
              </w:rPr>
              <w:t>/h），燃气锅炉供热会产生烟气，主要污染物为烟尘、SO</w:t>
            </w:r>
            <w:r>
              <w:rPr>
                <w:rFonts w:ascii="Times New Roman" w:hAnsi="Times New Roman" w:cs="Times New Roman"/>
                <w:color w:val="auto"/>
                <w:vertAlign w:val="subscript"/>
              </w:rPr>
              <w:t>2</w:t>
            </w:r>
            <w:r>
              <w:rPr>
                <w:rFonts w:ascii="Times New Roman" w:hAnsi="Times New Roman" w:cs="Times New Roman"/>
                <w:color w:val="auto"/>
              </w:rPr>
              <w:t>、NOx。</w:t>
            </w:r>
          </w:p>
          <w:p>
            <w:pPr>
              <w:ind w:firstLine="480" w:firstLineChars="200"/>
              <w:rPr>
                <w:rFonts w:ascii="Times New Roman" w:hAnsi="Times New Roman" w:cs="Times New Roman"/>
                <w:color w:val="auto"/>
              </w:rPr>
            </w:pPr>
            <w:r>
              <w:rPr>
                <w:rFonts w:ascii="Times New Roman" w:hAnsi="Times New Roman" w:cs="Times New Roman"/>
                <w:color w:val="auto"/>
              </w:rPr>
              <w:t>本项目新</w:t>
            </w:r>
            <w:r>
              <w:rPr>
                <w:rFonts w:hint="eastAsia" w:ascii="Times New Roman" w:hAnsi="Times New Roman" w:cs="Times New Roman"/>
                <w:color w:val="auto"/>
              </w:rPr>
              <w:t>增</w:t>
            </w:r>
            <w:r>
              <w:rPr>
                <w:rFonts w:ascii="Times New Roman" w:hAnsi="Times New Roman" w:cs="Times New Roman"/>
                <w:color w:val="auto"/>
              </w:rPr>
              <w:t>天然气锅炉，年耗气量为149.87万</w:t>
            </w:r>
            <w:r>
              <w:rPr>
                <w:rFonts w:hint="eastAsia" w:ascii="Times New Roman" w:hAnsi="Times New Roman" w:cs="Times New Roman"/>
                <w:color w:val="auto"/>
              </w:rPr>
              <w:t>m</w:t>
            </w:r>
            <w:r>
              <w:rPr>
                <w:rFonts w:ascii="Times New Roman" w:hAnsi="Times New Roman" w:cs="Times New Roman"/>
                <w:color w:val="auto"/>
                <w:vertAlign w:val="superscript"/>
              </w:rPr>
              <w:t>3</w:t>
            </w:r>
            <w:r>
              <w:rPr>
                <w:rFonts w:ascii="Times New Roman" w:hAnsi="Times New Roman" w:cs="Times New Roman"/>
                <w:color w:val="auto"/>
              </w:rPr>
              <w:t>，（锅炉参数：燃气消耗量为1040.77Nm</w:t>
            </w:r>
            <w:r>
              <w:rPr>
                <w:rFonts w:ascii="Times New Roman" w:hAnsi="Times New Roman" w:cs="Times New Roman"/>
                <w:color w:val="auto"/>
                <w:vertAlign w:val="superscript"/>
              </w:rPr>
              <w:t>3</w:t>
            </w:r>
            <w:r>
              <w:rPr>
                <w:rFonts w:ascii="Times New Roman" w:hAnsi="Times New Roman" w:cs="Times New Roman"/>
                <w:color w:val="auto"/>
              </w:rPr>
              <w:t>/h，年运行</w:t>
            </w:r>
            <w:r>
              <w:rPr>
                <w:rFonts w:hint="eastAsia" w:ascii="Times New Roman" w:hAnsi="Times New Roman" w:cs="Times New Roman"/>
                <w:color w:val="auto"/>
              </w:rPr>
              <w:t>1</w:t>
            </w:r>
            <w:r>
              <w:rPr>
                <w:rFonts w:ascii="Times New Roman" w:hAnsi="Times New Roman" w:cs="Times New Roman"/>
                <w:color w:val="auto"/>
              </w:rPr>
              <w:t>440小时）</w:t>
            </w:r>
            <w:r>
              <w:rPr>
                <w:rFonts w:hint="eastAsia" w:ascii="Times New Roman" w:hAnsi="Times New Roman" w:cs="Times New Roman"/>
                <w:color w:val="auto"/>
              </w:rPr>
              <w:t>。</w:t>
            </w:r>
          </w:p>
          <w:p>
            <w:pPr>
              <w:ind w:firstLine="480" w:firstLineChars="200"/>
              <w:rPr>
                <w:rFonts w:ascii="Times New Roman" w:hAnsi="Times New Roman" w:cs="Times New Roman"/>
                <w:color w:val="auto"/>
              </w:rPr>
            </w:pPr>
            <w:r>
              <w:rPr>
                <w:rFonts w:ascii="Times New Roman" w:hAnsi="Times New Roman" w:cs="Times New Roman"/>
                <w:color w:val="auto"/>
              </w:rPr>
              <w:t>参照《全国污染源第一次普查工业污染源产排污系数手册》第十分册中相关数据，确定工业废气量、SO</w:t>
            </w:r>
            <w:r>
              <w:rPr>
                <w:rFonts w:ascii="Times New Roman" w:hAnsi="Times New Roman" w:cs="Times New Roman"/>
                <w:color w:val="auto"/>
                <w:vertAlign w:val="subscript"/>
              </w:rPr>
              <w:t>2</w:t>
            </w:r>
            <w:r>
              <w:rPr>
                <w:rFonts w:ascii="Times New Roman" w:hAnsi="Times New Roman" w:cs="Times New Roman"/>
                <w:color w:val="auto"/>
              </w:rPr>
              <w:t>及NOx产生量</w:t>
            </w:r>
            <w:r>
              <w:rPr>
                <w:rFonts w:hint="eastAsia" w:ascii="Times New Roman" w:hAnsi="Times New Roman" w:cs="Times New Roman"/>
                <w:color w:val="auto"/>
              </w:rPr>
              <w:t>，</w:t>
            </w:r>
            <w:r>
              <w:rPr>
                <w:rFonts w:ascii="Times New Roman" w:hAnsi="Times New Roman" w:cs="Times New Roman"/>
                <w:color w:val="auto"/>
              </w:rPr>
              <w:t>参照《环境保护实用数据手册》第73页，确定烟尘的产生量。</w:t>
            </w:r>
          </w:p>
          <w:p>
            <w:pPr>
              <w:ind w:firstLine="480" w:firstLineChars="200"/>
              <w:rPr>
                <w:rFonts w:ascii="Times New Roman" w:hAnsi="Times New Roman" w:cs="Times New Roman"/>
                <w:color w:val="auto"/>
              </w:rPr>
            </w:pPr>
            <w:r>
              <w:rPr>
                <w:rFonts w:ascii="Times New Roman" w:hAnsi="Times New Roman" w:cs="Times New Roman"/>
                <w:color w:val="auto"/>
              </w:rPr>
              <w:t>具体系数取值见表5-1。</w:t>
            </w:r>
          </w:p>
          <w:p>
            <w:pPr>
              <w:spacing w:line="360" w:lineRule="auto"/>
              <w:jc w:val="center"/>
              <w:rPr>
                <w:rFonts w:ascii="Times New Roman" w:hAnsi="Times New Roman" w:cs="Times New Roman"/>
                <w:color w:val="auto"/>
              </w:rPr>
            </w:pPr>
            <w:r>
              <w:rPr>
                <w:rFonts w:ascii="Times New Roman" w:hAnsi="Times New Roman" w:cs="Times New Roman"/>
                <w:b/>
                <w:bCs/>
                <w:color w:val="auto"/>
              </w:rPr>
              <w:t>表5-1  产排污系数表</w:t>
            </w:r>
          </w:p>
          <w:tbl>
            <w:tblPr>
              <w:tblStyle w:val="18"/>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72"/>
              <w:gridCol w:w="990"/>
              <w:gridCol w:w="1747"/>
              <w:gridCol w:w="1538"/>
              <w:gridCol w:w="1203"/>
              <w:gridCol w:w="271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481" w:type="pct"/>
                  <w:tcBorders>
                    <w:bottom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原料</w:t>
                  </w:r>
                </w:p>
              </w:tc>
              <w:tc>
                <w:tcPr>
                  <w:tcW w:w="546" w:type="pct"/>
                  <w:tcBorders>
                    <w:bottom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工艺</w:t>
                  </w:r>
                </w:p>
              </w:tc>
              <w:tc>
                <w:tcPr>
                  <w:tcW w:w="963" w:type="pct"/>
                  <w:tcBorders>
                    <w:bottom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污染物指标</w:t>
                  </w:r>
                </w:p>
              </w:tc>
              <w:tc>
                <w:tcPr>
                  <w:tcW w:w="848" w:type="pct"/>
                  <w:tcBorders>
                    <w:bottom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单位</w:t>
                  </w:r>
                </w:p>
              </w:tc>
              <w:tc>
                <w:tcPr>
                  <w:tcW w:w="663" w:type="pct"/>
                  <w:tcBorders>
                    <w:bottom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产污系数</w:t>
                  </w:r>
                </w:p>
              </w:tc>
              <w:tc>
                <w:tcPr>
                  <w:tcW w:w="1497" w:type="pct"/>
                  <w:tcBorders>
                    <w:bottom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数据来源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81" w:type="pct"/>
                  <w:vMerge w:val="restar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天然气</w:t>
                  </w:r>
                </w:p>
              </w:tc>
              <w:tc>
                <w:tcPr>
                  <w:tcW w:w="546" w:type="pct"/>
                  <w:vMerge w:val="restar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室燃炉</w:t>
                  </w:r>
                </w:p>
              </w:tc>
              <w:tc>
                <w:tcPr>
                  <w:tcW w:w="963" w:type="pct"/>
                  <w:tcBorders>
                    <w:top w:val="single" w:color="auto" w:sz="12" w:space="0"/>
                    <w:bottom w:val="single" w:color="auto" w:sz="4"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工业废气量</w:t>
                  </w:r>
                </w:p>
              </w:tc>
              <w:tc>
                <w:tcPr>
                  <w:tcW w:w="1538" w:type="dxa"/>
                  <w:tcBorders>
                    <w:top w:val="single" w:color="auto" w:sz="12" w:space="0"/>
                    <w:bottom w:val="single" w:color="auto" w:sz="4"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标立方米/万立方米-原料</w:t>
                  </w:r>
                </w:p>
              </w:tc>
              <w:tc>
                <w:tcPr>
                  <w:tcW w:w="663" w:type="pct"/>
                  <w:tcBorders>
                    <w:top w:val="single" w:color="auto" w:sz="12" w:space="0"/>
                    <w:bottom w:val="single" w:color="auto" w:sz="4"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136259.17</w:t>
                  </w:r>
                </w:p>
              </w:tc>
              <w:tc>
                <w:tcPr>
                  <w:tcW w:w="1497" w:type="pct"/>
                  <w:vMerge w:val="restar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《全国污染源第一次普查工业污染源产排污系数手册》</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81"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546"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747" w:type="dxa"/>
                  <w:tcBorders>
                    <w:top w:val="single" w:color="auto" w:sz="4"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SO</w:t>
                  </w:r>
                  <w:r>
                    <w:rPr>
                      <w:rFonts w:ascii="Times New Roman" w:hAnsi="Times New Roman" w:cs="Times New Roman"/>
                      <w:color w:val="auto"/>
                      <w:sz w:val="21"/>
                      <w:szCs w:val="21"/>
                      <w:vertAlign w:val="subscript"/>
                    </w:rPr>
                    <w:t>2</w:t>
                  </w:r>
                </w:p>
              </w:tc>
              <w:tc>
                <w:tcPr>
                  <w:tcW w:w="1538" w:type="dxa"/>
                  <w:vMerge w:val="restart"/>
                  <w:tcBorders>
                    <w:top w:val="single" w:color="auto" w:sz="4"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千克/万立方米-原料</w:t>
                  </w:r>
                </w:p>
              </w:tc>
              <w:tc>
                <w:tcPr>
                  <w:tcW w:w="1203" w:type="dxa"/>
                  <w:tcBorders>
                    <w:top w:val="single" w:color="auto" w:sz="4"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0.02S</w:t>
                  </w:r>
                  <w:r>
                    <w:rPr>
                      <w:rFonts w:ascii="Times New Roman" w:hAnsi="Times New Roman" w:cs="Times New Roman"/>
                      <w:color w:val="auto"/>
                      <w:sz w:val="21"/>
                      <w:szCs w:val="21"/>
                    </w:rPr>
                    <w:fldChar w:fldCharType="begin"/>
                  </w:r>
                  <w:r>
                    <w:rPr>
                      <w:rFonts w:ascii="Times New Roman" w:hAnsi="Times New Roman" w:cs="Times New Roman"/>
                      <w:color w:val="auto"/>
                      <w:sz w:val="21"/>
                      <w:szCs w:val="21"/>
                    </w:rPr>
                    <w:instrText xml:space="preserve">= 1 \* GB3</w:instrText>
                  </w:r>
                  <w:r>
                    <w:rPr>
                      <w:rFonts w:ascii="Times New Roman" w:hAnsi="Times New Roman" w:cs="Times New Roman"/>
                      <w:color w:val="auto"/>
                      <w:sz w:val="21"/>
                      <w:szCs w:val="21"/>
                    </w:rPr>
                    <w:fldChar w:fldCharType="separate"/>
                  </w:r>
                  <w:r>
                    <w:rPr>
                      <w:rFonts w:ascii="Times New Roman" w:hAnsi="Times New Roman" w:cs="Times New Roman"/>
                      <w:color w:val="auto"/>
                      <w:sz w:val="21"/>
                      <w:szCs w:val="21"/>
                    </w:rPr>
                    <w:t>①</w:t>
                  </w:r>
                  <w:r>
                    <w:rPr>
                      <w:rFonts w:ascii="Times New Roman" w:hAnsi="Times New Roman" w:cs="Times New Roman"/>
                      <w:color w:val="auto"/>
                      <w:sz w:val="21"/>
                      <w:szCs w:val="21"/>
                    </w:rPr>
                    <w:fldChar w:fldCharType="end"/>
                  </w:r>
                </w:p>
              </w:tc>
              <w:tc>
                <w:tcPr>
                  <w:tcW w:w="1497"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481"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546"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963"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NOx</w:t>
                  </w:r>
                </w:p>
              </w:tc>
              <w:tc>
                <w:tcPr>
                  <w:tcW w:w="848"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663"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18.71</w:t>
                  </w:r>
                </w:p>
              </w:tc>
              <w:tc>
                <w:tcPr>
                  <w:tcW w:w="1497"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481"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546"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963"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烟尘</w:t>
                  </w:r>
                </w:p>
              </w:tc>
              <w:tc>
                <w:tcPr>
                  <w:tcW w:w="848"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663"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2.4</w:t>
                  </w:r>
                </w:p>
              </w:tc>
              <w:tc>
                <w:tcPr>
                  <w:tcW w:w="149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《环境保护实用数据手册》</w:t>
                  </w:r>
                </w:p>
              </w:tc>
            </w:tr>
          </w:tbl>
          <w:p>
            <w:pPr>
              <w:ind w:firstLine="480" w:firstLineChars="200"/>
              <w:rPr>
                <w:rFonts w:ascii="Times New Roman" w:hAnsi="Times New Roman" w:cs="Times New Roman"/>
                <w:color w:val="auto"/>
              </w:rPr>
            </w:pPr>
            <w:r>
              <w:rPr>
                <w:rFonts w:ascii="Times New Roman" w:hAnsi="Times New Roman" w:cs="Times New Roman"/>
                <w:color w:val="auto"/>
              </w:rPr>
              <w:t>注：</w:t>
            </w:r>
            <w:r>
              <w:rPr>
                <w:rFonts w:ascii="Times New Roman" w:hAnsi="Times New Roman" w:cs="Times New Roman"/>
                <w:color w:val="auto"/>
              </w:rPr>
              <w:fldChar w:fldCharType="begin"/>
            </w:r>
            <w:r>
              <w:rPr>
                <w:rFonts w:ascii="Times New Roman" w:hAnsi="Times New Roman" w:cs="Times New Roman"/>
                <w:color w:val="auto"/>
              </w:rPr>
              <w:instrText xml:space="preserve">= 1 \* GB3</w:instrText>
            </w:r>
            <w:r>
              <w:rPr>
                <w:rFonts w:ascii="Times New Roman" w:hAnsi="Times New Roman" w:cs="Times New Roman"/>
                <w:color w:val="auto"/>
              </w:rPr>
              <w:fldChar w:fldCharType="separate"/>
            </w:r>
            <w:r>
              <w:rPr>
                <w:rFonts w:ascii="Times New Roman" w:hAnsi="Times New Roman" w:cs="Times New Roman"/>
                <w:color w:val="auto"/>
              </w:rPr>
              <w:t>①</w:t>
            </w:r>
            <w:r>
              <w:rPr>
                <w:rFonts w:ascii="Times New Roman" w:hAnsi="Times New Roman" w:cs="Times New Roman"/>
                <w:color w:val="auto"/>
              </w:rPr>
              <w:fldChar w:fldCharType="end"/>
            </w:r>
            <w:r>
              <w:rPr>
                <w:rFonts w:ascii="Times New Roman" w:hAnsi="Times New Roman" w:cs="Times New Roman"/>
                <w:color w:val="auto"/>
              </w:rPr>
              <w:t>产排污系数表中SO</w:t>
            </w:r>
            <w:r>
              <w:rPr>
                <w:rFonts w:ascii="Times New Roman" w:hAnsi="Times New Roman" w:cs="Times New Roman"/>
                <w:color w:val="auto"/>
                <w:vertAlign w:val="subscript"/>
              </w:rPr>
              <w:t>2</w:t>
            </w:r>
            <w:r>
              <w:rPr>
                <w:rFonts w:ascii="Times New Roman" w:hAnsi="Times New Roman" w:cs="Times New Roman"/>
                <w:color w:val="auto"/>
              </w:rPr>
              <w:t>的产排污系数是以含硫量“S”的形式表示的，其中含硫量“S”是指燃气收到基硫分含量，单位为mg/m</w:t>
            </w:r>
            <w:r>
              <w:rPr>
                <w:rFonts w:ascii="Times New Roman" w:hAnsi="Times New Roman" w:cs="Times New Roman"/>
                <w:color w:val="auto"/>
                <w:vertAlign w:val="superscript"/>
              </w:rPr>
              <w:t>3</w:t>
            </w:r>
            <w:r>
              <w:rPr>
                <w:rFonts w:ascii="Times New Roman" w:hAnsi="Times New Roman" w:cs="Times New Roman"/>
                <w:color w:val="auto"/>
              </w:rPr>
              <w:t>，本次环评取值200mg/m</w:t>
            </w:r>
            <w:r>
              <w:rPr>
                <w:rFonts w:ascii="Times New Roman" w:hAnsi="Times New Roman" w:cs="Times New Roman"/>
                <w:color w:val="auto"/>
                <w:vertAlign w:val="superscript"/>
              </w:rPr>
              <w:t>3</w:t>
            </w:r>
            <w:r>
              <w:rPr>
                <w:rFonts w:ascii="Times New Roman" w:hAnsi="Times New Roman" w:cs="Times New Roman"/>
                <w:color w:val="auto"/>
              </w:rPr>
              <w:t>。</w:t>
            </w:r>
          </w:p>
          <w:p>
            <w:pPr>
              <w:ind w:firstLine="470" w:firstLineChars="196"/>
              <w:rPr>
                <w:rFonts w:ascii="Times New Roman" w:hAnsi="Times New Roman" w:cs="Times New Roman"/>
                <w:color w:val="auto"/>
              </w:rPr>
            </w:pPr>
            <w:r>
              <w:rPr>
                <w:rFonts w:ascii="Times New Roman" w:hAnsi="Times New Roman" w:cs="Times New Roman"/>
                <w:color w:val="auto"/>
              </w:rPr>
              <w:t>经计算，本项目工业废气产生量为2042.13万立方米，SO</w:t>
            </w:r>
            <w:r>
              <w:rPr>
                <w:rFonts w:ascii="Times New Roman" w:hAnsi="Times New Roman" w:cs="Times New Roman"/>
                <w:color w:val="auto"/>
                <w:vertAlign w:val="subscript"/>
              </w:rPr>
              <w:t>2</w:t>
            </w:r>
            <w:r>
              <w:rPr>
                <w:rFonts w:ascii="Times New Roman" w:hAnsi="Times New Roman" w:cs="Times New Roman"/>
                <w:color w:val="auto"/>
              </w:rPr>
              <w:t>产生量为0.5995t/a，产生速率为0.416kg/h；NO</w:t>
            </w:r>
            <w:r>
              <w:rPr>
                <w:rFonts w:ascii="Times New Roman" w:hAnsi="Times New Roman" w:cs="Times New Roman"/>
                <w:color w:val="auto"/>
                <w:vertAlign w:val="subscript"/>
              </w:rPr>
              <w:t>X</w:t>
            </w:r>
            <w:r>
              <w:rPr>
                <w:rFonts w:ascii="Times New Roman" w:hAnsi="Times New Roman" w:cs="Times New Roman"/>
                <w:color w:val="auto"/>
              </w:rPr>
              <w:t>产生量为2.8037t/a，产生速率为1.947kg/h，烟尘产生量为0.36t/a，产生速率为0.25kg/h。</w:t>
            </w:r>
          </w:p>
          <w:p>
            <w:pPr>
              <w:ind w:firstLine="470" w:firstLineChars="196"/>
              <w:rPr>
                <w:rFonts w:ascii="Times New Roman" w:hAnsi="Times New Roman" w:cs="Times New Roman"/>
                <w:color w:val="auto"/>
              </w:rPr>
            </w:pPr>
            <w:r>
              <w:rPr>
                <w:rFonts w:ascii="Times New Roman" w:hAnsi="Times New Roman" w:cs="Times New Roman"/>
                <w:color w:val="auto"/>
              </w:rPr>
              <w:t>为保证锅炉废气达标排放，项目锅炉自带分体式低氮燃烧器</w:t>
            </w:r>
            <w:r>
              <w:rPr>
                <w:rFonts w:hint="eastAsia" w:ascii="Times New Roman" w:hAnsi="Times New Roman" w:cs="Times New Roman"/>
                <w:color w:val="auto"/>
              </w:rPr>
              <w:t>。</w:t>
            </w:r>
            <w:r>
              <w:rPr>
                <w:rFonts w:hint="eastAsia" w:ascii="Times New Roman" w:hAnsi="Times New Roman" w:cs="Times New Roman"/>
                <w:bCs/>
                <w:color w:val="auto"/>
              </w:rPr>
              <w:t>根据白象食品股份有限公司湖南分公司9-11月的常规检测报告可知</w:t>
            </w:r>
            <w:r>
              <w:rPr>
                <w:rFonts w:hint="eastAsia" w:ascii="Times New Roman" w:hAnsi="Times New Roman" w:cs="Times New Roman"/>
                <w:color w:val="auto"/>
              </w:rPr>
              <w:t>，</w:t>
            </w:r>
            <w:r>
              <w:rPr>
                <w:rFonts w:ascii="Times New Roman" w:hAnsi="Times New Roman" w:cs="Times New Roman"/>
                <w:color w:val="auto"/>
              </w:rPr>
              <w:t>该燃烧器燃烧废气中NO</w:t>
            </w:r>
            <w:r>
              <w:rPr>
                <w:rFonts w:ascii="Times New Roman" w:hAnsi="Times New Roman" w:cs="Times New Roman"/>
                <w:color w:val="auto"/>
                <w:vertAlign w:val="subscript"/>
              </w:rPr>
              <w:t>X</w:t>
            </w:r>
            <w:r>
              <w:rPr>
                <w:rFonts w:hint="eastAsia" w:ascii="Times New Roman" w:hAnsi="Times New Roman" w:cs="Times New Roman"/>
                <w:color w:val="auto"/>
                <w:vertAlign w:val="baseline"/>
                <w:lang w:eastAsia="zh-CN"/>
              </w:rPr>
              <w:t>实测</w:t>
            </w:r>
            <w:r>
              <w:rPr>
                <w:rFonts w:ascii="Times New Roman" w:hAnsi="Times New Roman" w:cs="Times New Roman"/>
                <w:color w:val="auto"/>
              </w:rPr>
              <w:t>排放浓度低于</w:t>
            </w:r>
            <w:r>
              <w:rPr>
                <w:rFonts w:hint="eastAsia" w:ascii="Times New Roman" w:hAnsi="Times New Roman" w:cs="Times New Roman"/>
                <w:color w:val="auto"/>
              </w:rPr>
              <w:t>2</w:t>
            </w:r>
            <w:r>
              <w:rPr>
                <w:rFonts w:hint="eastAsia" w:ascii="Times New Roman" w:hAnsi="Times New Roman" w:cs="Times New Roman"/>
                <w:color w:val="auto"/>
                <w:lang w:val="en-US" w:eastAsia="zh-CN"/>
              </w:rPr>
              <w:t>8</w:t>
            </w:r>
            <w:r>
              <w:rPr>
                <w:rFonts w:ascii="Times New Roman" w:hAnsi="Times New Roman" w:cs="Times New Roman"/>
                <w:color w:val="auto"/>
              </w:rPr>
              <w:t>mg/m</w:t>
            </w:r>
            <w:r>
              <w:rPr>
                <w:rFonts w:ascii="Times New Roman" w:hAnsi="Times New Roman" w:cs="Times New Roman"/>
                <w:color w:val="auto"/>
                <w:vertAlign w:val="superscript"/>
              </w:rPr>
              <w:t>3</w:t>
            </w:r>
            <w:r>
              <w:rPr>
                <w:rFonts w:ascii="Times New Roman" w:hAnsi="Times New Roman" w:cs="Times New Roman"/>
                <w:color w:val="auto"/>
              </w:rPr>
              <w:t xml:space="preserve">， </w:t>
            </w:r>
            <w:r>
              <w:rPr>
                <w:rFonts w:hint="eastAsia" w:ascii="Times New Roman" w:hAnsi="Times New Roman" w:cs="Times New Roman"/>
                <w:color w:val="auto"/>
                <w:lang w:eastAsia="zh-CN"/>
              </w:rPr>
              <w:t>则</w:t>
            </w:r>
            <w:r>
              <w:rPr>
                <w:rFonts w:ascii="Times New Roman" w:hAnsi="Times New Roman" w:cs="Times New Roman"/>
                <w:color w:val="auto"/>
              </w:rPr>
              <w:t>NO</w:t>
            </w:r>
            <w:r>
              <w:rPr>
                <w:rFonts w:ascii="Times New Roman" w:hAnsi="Times New Roman" w:cs="Times New Roman"/>
                <w:color w:val="auto"/>
                <w:vertAlign w:val="subscript"/>
              </w:rPr>
              <w:t>X</w:t>
            </w:r>
            <w:r>
              <w:rPr>
                <w:rFonts w:ascii="Times New Roman" w:hAnsi="Times New Roman" w:cs="Times New Roman"/>
                <w:color w:val="auto"/>
              </w:rPr>
              <w:t>排放浓度按</w:t>
            </w:r>
            <w:r>
              <w:rPr>
                <w:rFonts w:hint="eastAsia" w:ascii="Times New Roman" w:hAnsi="Times New Roman" w:cs="Times New Roman"/>
                <w:color w:val="auto"/>
              </w:rPr>
              <w:t>2</w:t>
            </w:r>
            <w:r>
              <w:rPr>
                <w:rFonts w:hint="eastAsia" w:ascii="Times New Roman" w:hAnsi="Times New Roman" w:cs="Times New Roman"/>
                <w:color w:val="auto"/>
                <w:lang w:val="en-US" w:eastAsia="zh-CN"/>
              </w:rPr>
              <w:t>8</w:t>
            </w:r>
            <w:r>
              <w:rPr>
                <w:rFonts w:ascii="Times New Roman" w:hAnsi="Times New Roman" w:cs="Times New Roman"/>
                <w:color w:val="auto"/>
              </w:rPr>
              <w:t>mg/m</w:t>
            </w:r>
            <w:r>
              <w:rPr>
                <w:rFonts w:ascii="Times New Roman" w:hAnsi="Times New Roman" w:cs="Times New Roman"/>
                <w:color w:val="auto"/>
                <w:vertAlign w:val="superscript"/>
              </w:rPr>
              <w:t>3</w:t>
            </w:r>
            <w:r>
              <w:rPr>
                <w:rFonts w:ascii="Times New Roman" w:hAnsi="Times New Roman" w:cs="Times New Roman"/>
                <w:color w:val="auto"/>
              </w:rPr>
              <w:t>计，NO</w:t>
            </w:r>
            <w:r>
              <w:rPr>
                <w:rFonts w:ascii="Times New Roman" w:hAnsi="Times New Roman" w:cs="Times New Roman"/>
                <w:color w:val="auto"/>
                <w:vertAlign w:val="subscript"/>
              </w:rPr>
              <w:t>X</w:t>
            </w:r>
            <w:r>
              <w:rPr>
                <w:rFonts w:ascii="Times New Roman" w:hAnsi="Times New Roman" w:cs="Times New Roman"/>
                <w:color w:val="auto"/>
              </w:rPr>
              <w:t>排放量为</w:t>
            </w:r>
            <w:r>
              <w:rPr>
                <w:rFonts w:hint="eastAsia" w:ascii="Times New Roman" w:hAnsi="Times New Roman" w:cs="Times New Roman"/>
                <w:color w:val="auto"/>
              </w:rPr>
              <w:t>0.5</w:t>
            </w:r>
            <w:r>
              <w:rPr>
                <w:rFonts w:hint="eastAsia" w:ascii="Times New Roman" w:hAnsi="Times New Roman" w:cs="Times New Roman"/>
                <w:color w:val="auto"/>
                <w:lang w:val="en-US" w:eastAsia="zh-CN"/>
              </w:rPr>
              <w:t>72</w:t>
            </w:r>
            <w:r>
              <w:rPr>
                <w:rFonts w:ascii="Times New Roman" w:hAnsi="Times New Roman" w:cs="Times New Roman"/>
                <w:color w:val="auto"/>
              </w:rPr>
              <w:t>t/a。</w:t>
            </w:r>
          </w:p>
          <w:p>
            <w:pPr>
              <w:ind w:firstLine="480" w:firstLineChars="200"/>
              <w:rPr>
                <w:rFonts w:ascii="Times New Roman" w:hAnsi="Times New Roman" w:cs="Times New Roman"/>
                <w:color w:val="auto"/>
              </w:rPr>
            </w:pPr>
            <w:r>
              <w:rPr>
                <w:rFonts w:ascii="Times New Roman" w:hAnsi="Times New Roman" w:cs="Times New Roman"/>
                <w:color w:val="auto"/>
              </w:rPr>
              <w:t>本项目天然气锅炉产排污情况见表5-2。</w:t>
            </w:r>
          </w:p>
          <w:p>
            <w:pPr>
              <w:spacing w:line="360" w:lineRule="auto"/>
              <w:jc w:val="center"/>
              <w:rPr>
                <w:rFonts w:ascii="Times New Roman" w:hAnsi="Times New Roman" w:cs="Times New Roman"/>
                <w:color w:val="auto"/>
              </w:rPr>
            </w:pPr>
            <w:r>
              <w:rPr>
                <w:rFonts w:ascii="Times New Roman" w:hAnsi="Times New Roman" w:cs="Times New Roman"/>
                <w:b/>
                <w:bCs/>
                <w:color w:val="auto"/>
              </w:rPr>
              <w:t>表5-2  锅炉废气产生及排放情况一览表</w:t>
            </w:r>
          </w:p>
          <w:tbl>
            <w:tblPr>
              <w:tblStyle w:val="18"/>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45"/>
              <w:gridCol w:w="1134"/>
              <w:gridCol w:w="1216"/>
              <w:gridCol w:w="929"/>
              <w:gridCol w:w="2510"/>
              <w:gridCol w:w="1138"/>
              <w:gridCol w:w="109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76" w:type="pct"/>
                  <w:vMerge w:val="restar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污染物名称</w:t>
                  </w:r>
                </w:p>
              </w:tc>
              <w:tc>
                <w:tcPr>
                  <w:tcW w:w="1295" w:type="pct"/>
                  <w:gridSpan w:val="2"/>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处理前</w:t>
                  </w:r>
                </w:p>
              </w:tc>
              <w:tc>
                <w:tcPr>
                  <w:tcW w:w="512" w:type="pct"/>
                  <w:vMerge w:val="restar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排放方式</w:t>
                  </w:r>
                </w:p>
              </w:tc>
              <w:tc>
                <w:tcPr>
                  <w:tcW w:w="1383" w:type="pct"/>
                  <w:vMerge w:val="restar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处理方式</w:t>
                  </w:r>
                </w:p>
              </w:tc>
              <w:tc>
                <w:tcPr>
                  <w:tcW w:w="1232" w:type="pct"/>
                  <w:gridSpan w:val="2"/>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处理后</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76" w:type="pct"/>
                  <w:vMerge w:val="continue"/>
                  <w:tcBorders>
                    <w:bottom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p>
              </w:tc>
              <w:tc>
                <w:tcPr>
                  <w:tcW w:w="625" w:type="pct"/>
                  <w:tcBorders>
                    <w:bottom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产生浓度</w:t>
                  </w:r>
                </w:p>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mg/m</w:t>
                  </w:r>
                  <w:r>
                    <w:rPr>
                      <w:rFonts w:ascii="Times New Roman" w:hAnsi="Times New Roman" w:cs="Times New Roman"/>
                      <w:color w:val="auto"/>
                      <w:sz w:val="21"/>
                      <w:szCs w:val="21"/>
                      <w:vertAlign w:val="superscript"/>
                    </w:rPr>
                    <w:t>3</w:t>
                  </w:r>
                </w:p>
              </w:tc>
              <w:tc>
                <w:tcPr>
                  <w:tcW w:w="670" w:type="pct"/>
                  <w:tcBorders>
                    <w:bottom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产生速率</w:t>
                  </w:r>
                </w:p>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kg/h</w:t>
                  </w:r>
                </w:p>
              </w:tc>
              <w:tc>
                <w:tcPr>
                  <w:tcW w:w="512" w:type="pct"/>
                  <w:vMerge w:val="continue"/>
                  <w:tcBorders>
                    <w:bottom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p>
              </w:tc>
              <w:tc>
                <w:tcPr>
                  <w:tcW w:w="1383" w:type="pct"/>
                  <w:vMerge w:val="continue"/>
                  <w:tcBorders>
                    <w:bottom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p>
              </w:tc>
              <w:tc>
                <w:tcPr>
                  <w:tcW w:w="627" w:type="pct"/>
                  <w:tcBorders>
                    <w:bottom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排放浓度</w:t>
                  </w:r>
                </w:p>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mg/m</w:t>
                  </w:r>
                  <w:r>
                    <w:rPr>
                      <w:rFonts w:ascii="Times New Roman" w:hAnsi="Times New Roman" w:cs="Times New Roman"/>
                      <w:color w:val="auto"/>
                      <w:sz w:val="21"/>
                      <w:szCs w:val="21"/>
                      <w:vertAlign w:val="superscript"/>
                    </w:rPr>
                    <w:t>3</w:t>
                  </w:r>
                </w:p>
              </w:tc>
              <w:tc>
                <w:tcPr>
                  <w:tcW w:w="605" w:type="pct"/>
                  <w:tcBorders>
                    <w:bottom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排放速率</w:t>
                  </w:r>
                </w:p>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kg/h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76"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SO</w:t>
                  </w:r>
                  <w:r>
                    <w:rPr>
                      <w:rFonts w:ascii="Times New Roman" w:hAnsi="Times New Roman" w:cs="Times New Roman"/>
                      <w:color w:val="auto"/>
                      <w:sz w:val="21"/>
                      <w:szCs w:val="21"/>
                      <w:vertAlign w:val="subscript"/>
                    </w:rPr>
                    <w:t>2</w:t>
                  </w:r>
                </w:p>
              </w:tc>
              <w:tc>
                <w:tcPr>
                  <w:tcW w:w="625"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29.356</w:t>
                  </w:r>
                </w:p>
              </w:tc>
              <w:tc>
                <w:tcPr>
                  <w:tcW w:w="670"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0.416</w:t>
                  </w:r>
                </w:p>
              </w:tc>
              <w:tc>
                <w:tcPr>
                  <w:tcW w:w="512" w:type="pct"/>
                  <w:tcBorders>
                    <w:top w:val="single" w:color="auto" w:sz="12" w:space="0"/>
                    <w:bottom w:val="single" w:color="auto" w:sz="4"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有组织</w:t>
                  </w:r>
                </w:p>
              </w:tc>
              <w:tc>
                <w:tcPr>
                  <w:tcW w:w="1383" w:type="pct"/>
                  <w:vMerge w:val="restar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分体式低氮燃烧器+烟气再循环低氮燃烧技术</w:t>
                  </w:r>
                </w:p>
              </w:tc>
              <w:tc>
                <w:tcPr>
                  <w:tcW w:w="627" w:type="pct"/>
                  <w:tcBorders>
                    <w:top w:val="single" w:color="auto" w:sz="12" w:space="0"/>
                    <w:bottom w:val="single" w:color="auto" w:sz="4"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29.356</w:t>
                  </w:r>
                </w:p>
              </w:tc>
              <w:tc>
                <w:tcPr>
                  <w:tcW w:w="605" w:type="pct"/>
                  <w:tcBorders>
                    <w:top w:val="single" w:color="auto" w:sz="12" w:space="0"/>
                    <w:bottom w:val="single" w:color="auto" w:sz="4"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0.416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76"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NO</w:t>
                  </w:r>
                  <w:r>
                    <w:rPr>
                      <w:rFonts w:ascii="Times New Roman" w:hAnsi="Times New Roman" w:cs="Times New Roman"/>
                      <w:color w:val="auto"/>
                      <w:sz w:val="21"/>
                      <w:szCs w:val="21"/>
                      <w:vertAlign w:val="subscript"/>
                    </w:rPr>
                    <w:t>X</w:t>
                  </w:r>
                </w:p>
              </w:tc>
              <w:tc>
                <w:tcPr>
                  <w:tcW w:w="625"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137.309</w:t>
                  </w:r>
                </w:p>
              </w:tc>
              <w:tc>
                <w:tcPr>
                  <w:tcW w:w="670"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1.947</w:t>
                  </w:r>
                </w:p>
              </w:tc>
              <w:tc>
                <w:tcPr>
                  <w:tcW w:w="512"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有组织</w:t>
                  </w:r>
                </w:p>
              </w:tc>
              <w:tc>
                <w:tcPr>
                  <w:tcW w:w="1383"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627" w:type="pct"/>
                  <w:tcBorders>
                    <w:tl2br w:val="nil"/>
                    <w:tr2bl w:val="nil"/>
                  </w:tcBorders>
                  <w:vAlign w:val="center"/>
                </w:tcPr>
                <w:p>
                  <w:pPr>
                    <w:spacing w:line="240" w:lineRule="auto"/>
                    <w:jc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color w:val="auto"/>
                      <w:sz w:val="21"/>
                      <w:szCs w:val="21"/>
                    </w:rPr>
                    <w:t>2</w:t>
                  </w:r>
                  <w:r>
                    <w:rPr>
                      <w:rFonts w:hint="eastAsia" w:ascii="Times New Roman" w:hAnsi="Times New Roman" w:cs="Times New Roman"/>
                      <w:color w:val="auto"/>
                      <w:sz w:val="21"/>
                      <w:szCs w:val="21"/>
                      <w:lang w:val="en-US" w:eastAsia="zh-CN"/>
                    </w:rPr>
                    <w:t>8</w:t>
                  </w:r>
                </w:p>
              </w:tc>
              <w:tc>
                <w:tcPr>
                  <w:tcW w:w="605" w:type="pct"/>
                  <w:tcBorders>
                    <w:tl2br w:val="nil"/>
                    <w:tr2bl w:val="nil"/>
                  </w:tcBorders>
                  <w:vAlign w:val="center"/>
                </w:tcPr>
                <w:p>
                  <w:pPr>
                    <w:spacing w:line="240" w:lineRule="auto"/>
                    <w:jc w:val="center"/>
                    <w:rPr>
                      <w:rFonts w:hint="default" w:ascii="Times New Roman" w:hAnsi="Times New Roman" w:cs="Times New Roman" w:eastAsiaTheme="minorEastAsia"/>
                      <w:color w:val="auto"/>
                      <w:sz w:val="21"/>
                      <w:szCs w:val="21"/>
                      <w:lang w:val="en-US" w:eastAsia="zh-CN"/>
                    </w:rPr>
                  </w:pPr>
                  <w:r>
                    <w:rPr>
                      <w:rFonts w:ascii="Times New Roman" w:hAnsi="Times New Roman" w:cs="Times New Roman"/>
                      <w:color w:val="auto"/>
                      <w:sz w:val="21"/>
                      <w:szCs w:val="21"/>
                    </w:rPr>
                    <w:t>0.</w:t>
                  </w:r>
                  <w:r>
                    <w:rPr>
                      <w:rFonts w:hint="eastAsia" w:ascii="Times New Roman" w:hAnsi="Times New Roman" w:cs="Times New Roman"/>
                      <w:color w:val="auto"/>
                      <w:sz w:val="21"/>
                      <w:szCs w:val="21"/>
                      <w:lang w:val="en-US" w:eastAsia="zh-CN"/>
                    </w:rPr>
                    <w:t>397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76"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烟尘</w:t>
                  </w:r>
                </w:p>
              </w:tc>
              <w:tc>
                <w:tcPr>
                  <w:tcW w:w="625"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17.609</w:t>
                  </w:r>
                </w:p>
              </w:tc>
              <w:tc>
                <w:tcPr>
                  <w:tcW w:w="670"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0.25</w:t>
                  </w:r>
                </w:p>
              </w:tc>
              <w:tc>
                <w:tcPr>
                  <w:tcW w:w="512"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有组织</w:t>
                  </w:r>
                </w:p>
              </w:tc>
              <w:tc>
                <w:tcPr>
                  <w:tcW w:w="1383"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62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17.609</w:t>
                  </w:r>
                </w:p>
              </w:tc>
              <w:tc>
                <w:tcPr>
                  <w:tcW w:w="605"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r>
                    <w:rPr>
                      <w:rFonts w:ascii="Times New Roman" w:hAnsi="Times New Roman" w:cs="Times New Roman"/>
                      <w:color w:val="auto"/>
                      <w:sz w:val="21"/>
                      <w:szCs w:val="21"/>
                    </w:rPr>
                    <w:t>25</w:t>
                  </w:r>
                </w:p>
              </w:tc>
            </w:tr>
          </w:tbl>
          <w:p>
            <w:pPr>
              <w:ind w:firstLine="480" w:firstLineChars="200"/>
              <w:rPr>
                <w:rFonts w:ascii="Times New Roman" w:hAnsi="Times New Roman" w:cs="Times New Roman"/>
                <w:color w:val="auto"/>
              </w:rPr>
            </w:pPr>
            <w:r>
              <w:rPr>
                <w:rFonts w:ascii="Times New Roman" w:hAnsi="Times New Roman" w:cs="Times New Roman"/>
                <w:color w:val="auto"/>
              </w:rPr>
              <w:t>（3）噪声</w:t>
            </w:r>
          </w:p>
          <w:p>
            <w:pPr>
              <w:ind w:firstLine="480" w:firstLineChars="200"/>
              <w:rPr>
                <w:rFonts w:ascii="Times New Roman" w:hAnsi="Times New Roman" w:cs="Times New Roman"/>
                <w:color w:val="auto"/>
              </w:rPr>
            </w:pPr>
            <w:r>
              <w:rPr>
                <w:rFonts w:ascii="Times New Roman" w:hAnsi="Times New Roman" w:cs="Times New Roman"/>
                <w:color w:val="auto"/>
              </w:rPr>
              <w:t>本项目噪声来源主要是锅炉运行产生的噪声，噪声水平在</w:t>
            </w:r>
            <w:r>
              <w:rPr>
                <w:rFonts w:hint="eastAsia" w:ascii="Times New Roman" w:hAnsi="Times New Roman" w:cs="Times New Roman"/>
                <w:color w:val="auto"/>
              </w:rPr>
              <w:t>7</w:t>
            </w:r>
            <w:r>
              <w:rPr>
                <w:rFonts w:ascii="Times New Roman" w:hAnsi="Times New Roman" w:cs="Times New Roman"/>
                <w:color w:val="auto"/>
              </w:rPr>
              <w:t>0dB(A)～</w:t>
            </w:r>
            <w:r>
              <w:rPr>
                <w:rFonts w:hint="eastAsia" w:ascii="Times New Roman" w:hAnsi="Times New Roman" w:cs="Times New Roman"/>
                <w:color w:val="auto"/>
              </w:rPr>
              <w:t>8</w:t>
            </w:r>
            <w:r>
              <w:rPr>
                <w:rFonts w:ascii="Times New Roman" w:hAnsi="Times New Roman" w:cs="Times New Roman"/>
                <w:color w:val="auto"/>
              </w:rPr>
              <w:t>0dB(A)之间。噪声源设备均设置在</w:t>
            </w:r>
            <w:r>
              <w:rPr>
                <w:rFonts w:hint="eastAsia" w:ascii="Times New Roman" w:hAnsi="Times New Roman" w:cs="Times New Roman"/>
                <w:color w:val="auto"/>
                <w:lang w:eastAsia="zh-CN"/>
              </w:rPr>
              <w:t>封闭</w:t>
            </w:r>
            <w:r>
              <w:rPr>
                <w:rFonts w:ascii="Times New Roman" w:hAnsi="Times New Roman" w:cs="Times New Roman"/>
                <w:color w:val="auto"/>
              </w:rPr>
              <w:t>的</w:t>
            </w:r>
            <w:r>
              <w:rPr>
                <w:rFonts w:hint="eastAsia" w:ascii="Times New Roman" w:hAnsi="Times New Roman" w:cs="Times New Roman"/>
                <w:color w:val="auto"/>
                <w:lang w:eastAsia="zh-CN"/>
              </w:rPr>
              <w:t>锅炉房</w:t>
            </w:r>
            <w:r>
              <w:rPr>
                <w:rFonts w:ascii="Times New Roman" w:hAnsi="Times New Roman" w:cs="Times New Roman"/>
                <w:color w:val="auto"/>
              </w:rPr>
              <w:t>内，并采取相应隔音减噪措施。</w:t>
            </w:r>
          </w:p>
          <w:p>
            <w:pPr>
              <w:ind w:firstLine="480" w:firstLineChars="200"/>
              <w:rPr>
                <w:rFonts w:ascii="Times New Roman" w:hAnsi="Times New Roman" w:cs="Times New Roman"/>
                <w:color w:val="auto"/>
              </w:rPr>
            </w:pPr>
            <w:r>
              <w:rPr>
                <w:rFonts w:ascii="Times New Roman" w:hAnsi="Times New Roman" w:cs="Times New Roman"/>
                <w:color w:val="auto"/>
              </w:rPr>
              <w:t>（4）固体废物</w:t>
            </w:r>
          </w:p>
          <w:p>
            <w:pPr>
              <w:ind w:firstLine="480" w:firstLineChars="200"/>
              <w:rPr>
                <w:rFonts w:ascii="Times New Roman" w:hAnsi="Times New Roman" w:cs="Times New Roman"/>
                <w:color w:val="auto"/>
              </w:rPr>
            </w:pPr>
            <w:r>
              <w:rPr>
                <w:rFonts w:ascii="Times New Roman" w:hAnsi="Times New Roman" w:cs="Times New Roman"/>
                <w:color w:val="auto"/>
              </w:rPr>
              <w:t>本项目运营期无固废产生。</w:t>
            </w:r>
          </w:p>
          <w:p>
            <w:pPr>
              <w:pStyle w:val="5"/>
              <w:bidi w:val="0"/>
              <w:rPr>
                <w:color w:val="auto"/>
              </w:rPr>
            </w:pPr>
            <w:r>
              <w:rPr>
                <w:rFonts w:hint="eastAsia"/>
                <w:color w:val="auto"/>
                <w:lang w:val="en-US" w:eastAsia="zh-CN"/>
              </w:rPr>
              <w:t>3、</w:t>
            </w:r>
            <w:r>
              <w:rPr>
                <w:rFonts w:hint="eastAsia"/>
                <w:color w:val="auto"/>
              </w:rPr>
              <w:t>污染三本账分析</w:t>
            </w:r>
          </w:p>
          <w:p>
            <w:pPr>
              <w:pStyle w:val="14"/>
              <w:spacing w:before="0" w:beforeAutospacing="0" w:after="0" w:afterAutospacing="0"/>
              <w:ind w:firstLine="480" w:firstLineChars="200"/>
              <w:rPr>
                <w:rFonts w:ascii="Times New Roman" w:hAnsi="Times New Roman" w:cs="Times New Roman"/>
                <w:bCs/>
                <w:color w:val="auto"/>
              </w:rPr>
            </w:pPr>
            <w:r>
              <w:rPr>
                <w:rFonts w:hint="eastAsia" w:ascii="Times New Roman" w:hAnsi="Times New Roman" w:cs="Times New Roman"/>
                <w:bCs/>
                <w:color w:val="auto"/>
              </w:rPr>
              <w:t>本项目在现有锅炉房新增</w:t>
            </w:r>
            <w:r>
              <w:rPr>
                <w:rFonts w:ascii="Times New Roman" w:hAnsi="Times New Roman" w:cs="Times New Roman"/>
                <w:bCs/>
                <w:color w:val="auto"/>
              </w:rPr>
              <w:t>1</w:t>
            </w:r>
            <w:r>
              <w:rPr>
                <w:rFonts w:hint="eastAsia" w:ascii="Times New Roman" w:hAnsi="Times New Roman" w:cs="Times New Roman"/>
                <w:bCs/>
                <w:color w:val="auto"/>
              </w:rPr>
              <w:t>台15</w:t>
            </w:r>
            <w:r>
              <w:rPr>
                <w:rFonts w:ascii="Times New Roman" w:hAnsi="Times New Roman" w:cs="Times New Roman"/>
                <w:bCs/>
                <w:color w:val="auto"/>
              </w:rPr>
              <w:t>t/h</w:t>
            </w:r>
            <w:r>
              <w:rPr>
                <w:rFonts w:hint="eastAsia" w:ascii="Times New Roman" w:hAnsi="Times New Roman" w:cs="Times New Roman"/>
                <w:bCs/>
                <w:color w:val="auto"/>
              </w:rPr>
              <w:t>天然气锅炉和1根2</w:t>
            </w:r>
            <w:r>
              <w:rPr>
                <w:rFonts w:hint="eastAsia" w:ascii="Times New Roman" w:hAnsi="Times New Roman" w:cs="Times New Roman"/>
                <w:bCs/>
                <w:color w:val="auto"/>
                <w:lang w:val="en-US" w:eastAsia="zh-CN"/>
              </w:rPr>
              <w:t>3</w:t>
            </w:r>
            <w:r>
              <w:rPr>
                <w:rFonts w:hint="eastAsia" w:ascii="Times New Roman" w:hAnsi="Times New Roman" w:cs="Times New Roman"/>
                <w:bCs/>
                <w:color w:val="auto"/>
              </w:rPr>
              <w:t>m烟囱，因此污染物</w:t>
            </w:r>
            <w:r>
              <w:rPr>
                <w:rFonts w:ascii="Times New Roman" w:hAnsi="Times New Roman" w:cs="Times New Roman"/>
                <w:bCs/>
                <w:color w:val="auto"/>
              </w:rPr>
              <w:t>“</w:t>
            </w:r>
            <w:r>
              <w:rPr>
                <w:rFonts w:hint="eastAsia" w:ascii="Times New Roman" w:hAnsi="Times New Roman" w:cs="Times New Roman"/>
                <w:bCs/>
                <w:color w:val="auto"/>
              </w:rPr>
              <w:t>三本账</w:t>
            </w:r>
            <w:r>
              <w:rPr>
                <w:rFonts w:ascii="Times New Roman" w:hAnsi="Times New Roman" w:cs="Times New Roman"/>
                <w:bCs/>
                <w:color w:val="auto"/>
              </w:rPr>
              <w:t>”</w:t>
            </w:r>
            <w:r>
              <w:rPr>
                <w:rFonts w:hint="eastAsia" w:ascii="Times New Roman" w:hAnsi="Times New Roman" w:cs="Times New Roman"/>
                <w:bCs/>
                <w:color w:val="auto"/>
              </w:rPr>
              <w:t>分析主要对天然气锅炉排放的污染物及原有项目减少的污染物进行分析，本项目</w:t>
            </w:r>
            <w:r>
              <w:rPr>
                <w:rFonts w:ascii="Times New Roman" w:hAnsi="Times New Roman" w:cs="Times New Roman"/>
                <w:bCs/>
                <w:color w:val="auto"/>
              </w:rPr>
              <w:t>“</w:t>
            </w:r>
            <w:r>
              <w:rPr>
                <w:rFonts w:hint="eastAsia" w:ascii="Times New Roman" w:hAnsi="Times New Roman" w:cs="Times New Roman"/>
                <w:bCs/>
                <w:color w:val="auto"/>
              </w:rPr>
              <w:t>三本帐</w:t>
            </w:r>
            <w:r>
              <w:rPr>
                <w:rFonts w:ascii="Times New Roman" w:hAnsi="Times New Roman" w:cs="Times New Roman"/>
                <w:bCs/>
                <w:color w:val="auto"/>
              </w:rPr>
              <w:t>”</w:t>
            </w:r>
            <w:r>
              <w:rPr>
                <w:rFonts w:hint="eastAsia" w:ascii="Times New Roman" w:hAnsi="Times New Roman" w:cs="Times New Roman"/>
                <w:bCs/>
                <w:color w:val="auto"/>
              </w:rPr>
              <w:t>分析见下表。</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表7-</w:t>
            </w:r>
            <w:r>
              <w:rPr>
                <w:rFonts w:hint="eastAsia" w:ascii="Times New Roman" w:hAnsi="Times New Roman" w:cs="Times New Roman"/>
                <w:b/>
                <w:bCs/>
                <w:color w:val="auto"/>
              </w:rPr>
              <w:t>15</w:t>
            </w:r>
            <w:r>
              <w:rPr>
                <w:rFonts w:ascii="Times New Roman" w:hAnsi="Times New Roman" w:cs="Times New Roman"/>
                <w:b/>
                <w:bCs/>
                <w:color w:val="auto"/>
              </w:rPr>
              <w:t xml:space="preserve">  </w:t>
            </w:r>
            <w:r>
              <w:rPr>
                <w:rFonts w:hint="eastAsia" w:ascii="Times New Roman" w:hAnsi="Times New Roman" w:cs="Times New Roman"/>
                <w:b/>
                <w:bCs/>
                <w:color w:val="auto"/>
              </w:rPr>
              <w:t>项目新增锅炉前后污染物排放“三本账”分析</w:t>
            </w:r>
          </w:p>
          <w:tbl>
            <w:tblPr>
              <w:tblStyle w:val="1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705"/>
              <w:gridCol w:w="1110"/>
              <w:gridCol w:w="1217"/>
              <w:gridCol w:w="1343"/>
              <w:gridCol w:w="1646"/>
              <w:gridCol w:w="1192"/>
              <w:gridCol w:w="118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378" w:type="dxa"/>
                  <w:gridSpan w:val="2"/>
                  <w:shd w:val="clear" w:color="auto" w:fill="DDD9C3"/>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污染源</w:t>
                  </w:r>
                </w:p>
              </w:tc>
              <w:tc>
                <w:tcPr>
                  <w:tcW w:w="1110" w:type="dxa"/>
                  <w:vMerge w:val="restart"/>
                  <w:shd w:val="clear" w:color="auto" w:fill="DDD9C3"/>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污染物</w:t>
                  </w:r>
                </w:p>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名称</w:t>
                  </w:r>
                </w:p>
              </w:tc>
              <w:tc>
                <w:tcPr>
                  <w:tcW w:w="1217" w:type="dxa"/>
                  <w:vMerge w:val="restart"/>
                  <w:shd w:val="clear" w:color="auto" w:fill="DDD9C3"/>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现有排放量(t/a)</w:t>
                  </w:r>
                </w:p>
              </w:tc>
              <w:tc>
                <w:tcPr>
                  <w:tcW w:w="1343" w:type="dxa"/>
                  <w:vMerge w:val="restart"/>
                  <w:shd w:val="clear" w:color="auto" w:fill="DDD9C3"/>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本工程</w:t>
                  </w:r>
                </w:p>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排放量（t/a）</w:t>
                  </w:r>
                </w:p>
              </w:tc>
              <w:tc>
                <w:tcPr>
                  <w:tcW w:w="1646" w:type="dxa"/>
                  <w:vMerge w:val="restart"/>
                  <w:shd w:val="clear" w:color="auto" w:fill="DDD9C3"/>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以新带老削减量(t/a)</w:t>
                  </w:r>
                </w:p>
              </w:tc>
              <w:tc>
                <w:tcPr>
                  <w:tcW w:w="1192" w:type="dxa"/>
                  <w:vMerge w:val="restart"/>
                  <w:shd w:val="clear" w:color="auto" w:fill="DDD9C3"/>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排放增减量(t/a)</w:t>
                  </w:r>
                </w:p>
              </w:tc>
              <w:tc>
                <w:tcPr>
                  <w:tcW w:w="1184" w:type="dxa"/>
                  <w:vMerge w:val="restart"/>
                  <w:shd w:val="clear" w:color="auto" w:fill="DDD9C3"/>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总排放量(t/a)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673" w:type="dxa"/>
                  <w:tcBorders>
                    <w:bottom w:val="single" w:color="auto" w:sz="12" w:space="0"/>
                  </w:tcBorders>
                  <w:shd w:val="clear" w:color="auto" w:fill="DDD9C3"/>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类别</w:t>
                  </w:r>
                </w:p>
              </w:tc>
              <w:tc>
                <w:tcPr>
                  <w:tcW w:w="705" w:type="dxa"/>
                  <w:tcBorders>
                    <w:bottom w:val="single" w:color="auto" w:sz="12" w:space="0"/>
                  </w:tcBorders>
                  <w:shd w:val="clear" w:color="auto" w:fill="DDD9C3"/>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名称</w:t>
                  </w:r>
                </w:p>
              </w:tc>
              <w:tc>
                <w:tcPr>
                  <w:tcW w:w="1110" w:type="dxa"/>
                  <w:vMerge w:val="continue"/>
                  <w:tcBorders>
                    <w:bottom w:val="single" w:color="auto" w:sz="12" w:space="0"/>
                  </w:tcBorders>
                  <w:shd w:val="clear" w:color="auto" w:fill="DDD9C3"/>
                  <w:vAlign w:val="center"/>
                </w:tcPr>
                <w:p>
                  <w:pPr>
                    <w:spacing w:line="240" w:lineRule="auto"/>
                    <w:jc w:val="center"/>
                    <w:rPr>
                      <w:rFonts w:ascii="Times New Roman" w:hAnsi="Times New Roman" w:cs="Times New Roman"/>
                      <w:b/>
                      <w:bCs/>
                      <w:color w:val="auto"/>
                      <w:sz w:val="21"/>
                      <w:szCs w:val="21"/>
                    </w:rPr>
                  </w:pPr>
                </w:p>
              </w:tc>
              <w:tc>
                <w:tcPr>
                  <w:tcW w:w="1217" w:type="dxa"/>
                  <w:vMerge w:val="continue"/>
                  <w:tcBorders>
                    <w:bottom w:val="single" w:color="auto" w:sz="12" w:space="0"/>
                  </w:tcBorders>
                  <w:shd w:val="clear" w:color="auto" w:fill="DDD9C3"/>
                  <w:vAlign w:val="center"/>
                </w:tcPr>
                <w:p>
                  <w:pPr>
                    <w:spacing w:line="240" w:lineRule="auto"/>
                    <w:jc w:val="center"/>
                    <w:rPr>
                      <w:rFonts w:ascii="Times New Roman" w:hAnsi="Times New Roman" w:cs="Times New Roman"/>
                      <w:b/>
                      <w:bCs/>
                      <w:color w:val="auto"/>
                      <w:sz w:val="21"/>
                      <w:szCs w:val="21"/>
                    </w:rPr>
                  </w:pPr>
                </w:p>
              </w:tc>
              <w:tc>
                <w:tcPr>
                  <w:tcW w:w="1343" w:type="dxa"/>
                  <w:vMerge w:val="continue"/>
                  <w:tcBorders>
                    <w:bottom w:val="single" w:color="auto" w:sz="12" w:space="0"/>
                  </w:tcBorders>
                  <w:shd w:val="clear" w:color="auto" w:fill="DDD9C3"/>
                  <w:vAlign w:val="center"/>
                </w:tcPr>
                <w:p>
                  <w:pPr>
                    <w:spacing w:line="240" w:lineRule="auto"/>
                    <w:jc w:val="center"/>
                    <w:rPr>
                      <w:rFonts w:ascii="Times New Roman" w:hAnsi="Times New Roman" w:cs="Times New Roman"/>
                      <w:b/>
                      <w:bCs/>
                      <w:color w:val="auto"/>
                      <w:sz w:val="21"/>
                      <w:szCs w:val="21"/>
                    </w:rPr>
                  </w:pPr>
                </w:p>
              </w:tc>
              <w:tc>
                <w:tcPr>
                  <w:tcW w:w="1646" w:type="dxa"/>
                  <w:vMerge w:val="continue"/>
                  <w:tcBorders>
                    <w:bottom w:val="single" w:color="auto" w:sz="12" w:space="0"/>
                  </w:tcBorders>
                  <w:shd w:val="clear" w:color="auto" w:fill="DDD9C3"/>
                  <w:vAlign w:val="center"/>
                </w:tcPr>
                <w:p>
                  <w:pPr>
                    <w:spacing w:line="240" w:lineRule="auto"/>
                    <w:jc w:val="center"/>
                    <w:rPr>
                      <w:rFonts w:ascii="Times New Roman" w:hAnsi="Times New Roman" w:cs="Times New Roman"/>
                      <w:b/>
                      <w:bCs/>
                      <w:color w:val="auto"/>
                      <w:sz w:val="21"/>
                      <w:szCs w:val="21"/>
                    </w:rPr>
                  </w:pPr>
                </w:p>
              </w:tc>
              <w:tc>
                <w:tcPr>
                  <w:tcW w:w="1192" w:type="dxa"/>
                  <w:vMerge w:val="continue"/>
                  <w:tcBorders>
                    <w:bottom w:val="single" w:color="auto" w:sz="12" w:space="0"/>
                  </w:tcBorders>
                  <w:shd w:val="clear" w:color="auto" w:fill="DDD9C3"/>
                  <w:vAlign w:val="center"/>
                </w:tcPr>
                <w:p>
                  <w:pPr>
                    <w:spacing w:line="240" w:lineRule="auto"/>
                    <w:jc w:val="center"/>
                    <w:rPr>
                      <w:rFonts w:ascii="Times New Roman" w:hAnsi="Times New Roman" w:cs="Times New Roman"/>
                      <w:b/>
                      <w:bCs/>
                      <w:color w:val="auto"/>
                      <w:sz w:val="21"/>
                      <w:szCs w:val="21"/>
                    </w:rPr>
                  </w:pPr>
                </w:p>
              </w:tc>
              <w:tc>
                <w:tcPr>
                  <w:tcW w:w="1184" w:type="dxa"/>
                  <w:vMerge w:val="continue"/>
                  <w:tcBorders>
                    <w:bottom w:val="single" w:color="auto" w:sz="12" w:space="0"/>
                  </w:tcBorders>
                  <w:shd w:val="clear" w:color="auto" w:fill="DDD9C3"/>
                  <w:vAlign w:val="center"/>
                </w:tcPr>
                <w:p>
                  <w:pPr>
                    <w:spacing w:line="240" w:lineRule="auto"/>
                    <w:jc w:val="center"/>
                    <w:rPr>
                      <w:rFonts w:ascii="Times New Roman" w:hAnsi="Times New Roman" w:cs="Times New Roman"/>
                      <w:b/>
                      <w:bCs/>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restart"/>
                  <w:tcBorders>
                    <w:top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锅炉</w:t>
                  </w:r>
                  <w:r>
                    <w:rPr>
                      <w:rFonts w:ascii="Times New Roman" w:hAnsi="Times New Roman" w:cs="Times New Roman"/>
                      <w:color w:val="auto"/>
                      <w:sz w:val="21"/>
                      <w:szCs w:val="21"/>
                    </w:rPr>
                    <w:t>废气</w:t>
                  </w:r>
                </w:p>
              </w:tc>
              <w:tc>
                <w:tcPr>
                  <w:tcW w:w="1110" w:type="dxa"/>
                  <w:tcBorders>
                    <w:top w:val="single" w:color="auto" w:sz="12" w:space="0"/>
                  </w:tcBorders>
                  <w:vAlign w:val="center"/>
                </w:tcPr>
                <w:p>
                  <w:pPr>
                    <w:autoSpaceDE w:val="0"/>
                    <w:autoSpaceDN w:val="0"/>
                    <w:adjustRightInd w:val="0"/>
                    <w:snapToGrid w:val="0"/>
                    <w:spacing w:line="240" w:lineRule="auto"/>
                    <w:jc w:val="center"/>
                    <w:textAlignment w:val="baseline"/>
                    <w:rPr>
                      <w:rFonts w:ascii="Times New Roman" w:hAnsi="Times New Roman" w:cs="Times New Roman"/>
                      <w:color w:val="auto"/>
                      <w:sz w:val="21"/>
                      <w:szCs w:val="21"/>
                    </w:rPr>
                  </w:pPr>
                  <w:r>
                    <w:rPr>
                      <w:rFonts w:ascii="Times New Roman" w:hAnsi="Times New Roman" w:cs="Times New Roman"/>
                      <w:color w:val="auto"/>
                      <w:sz w:val="21"/>
                      <w:szCs w:val="21"/>
                    </w:rPr>
                    <w:t>烟尘</w:t>
                  </w:r>
                </w:p>
              </w:tc>
              <w:tc>
                <w:tcPr>
                  <w:tcW w:w="1217" w:type="dxa"/>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0.725</w:t>
                  </w:r>
                </w:p>
              </w:tc>
              <w:tc>
                <w:tcPr>
                  <w:tcW w:w="1343" w:type="dxa"/>
                  <w:tcBorders>
                    <w:top w:val="single" w:color="auto" w:sz="12" w:space="0"/>
                  </w:tcBorders>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kern w:val="2"/>
                      <w:sz w:val="21"/>
                      <w:szCs w:val="21"/>
                    </w:rPr>
                    <w:t>0.</w:t>
                  </w:r>
                  <w:r>
                    <w:rPr>
                      <w:rFonts w:hint="eastAsia" w:ascii="Times New Roman" w:hAnsi="Times New Roman" w:cs="Times New Roman"/>
                      <w:bCs/>
                      <w:color w:val="auto"/>
                      <w:kern w:val="2"/>
                      <w:sz w:val="21"/>
                      <w:szCs w:val="21"/>
                      <w:lang w:val="en-US" w:eastAsia="zh-CN"/>
                    </w:rPr>
                    <w:t>36</w:t>
                  </w:r>
                </w:p>
              </w:tc>
              <w:tc>
                <w:tcPr>
                  <w:tcW w:w="1646" w:type="dxa"/>
                  <w:tcBorders>
                    <w:top w:val="single" w:color="auto" w:sz="12" w:space="0"/>
                  </w:tcBorders>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color w:val="auto"/>
                      <w:sz w:val="21"/>
                      <w:szCs w:val="21"/>
                    </w:rPr>
                  </w:pPr>
                  <w:r>
                    <w:rPr>
                      <w:rFonts w:hint="eastAsia" w:ascii="Times New Roman" w:hAnsi="Times New Roman" w:cs="Times New Roman"/>
                      <w:bCs/>
                      <w:color w:val="auto"/>
                      <w:sz w:val="21"/>
                      <w:szCs w:val="21"/>
                    </w:rPr>
                    <w:t>0</w:t>
                  </w:r>
                </w:p>
              </w:tc>
              <w:tc>
                <w:tcPr>
                  <w:tcW w:w="1192" w:type="dxa"/>
                  <w:tcBorders>
                    <w:top w:val="single" w:color="auto" w:sz="12" w:space="0"/>
                  </w:tcBorders>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sz w:val="21"/>
                      <w:szCs w:val="21"/>
                    </w:rPr>
                    <w:t>+0.</w:t>
                  </w:r>
                  <w:r>
                    <w:rPr>
                      <w:rFonts w:hint="eastAsia" w:ascii="Times New Roman" w:hAnsi="Times New Roman" w:cs="Times New Roman"/>
                      <w:bCs/>
                      <w:color w:val="auto"/>
                      <w:sz w:val="21"/>
                      <w:szCs w:val="21"/>
                      <w:lang w:val="en-US" w:eastAsia="zh-CN"/>
                    </w:rPr>
                    <w:t>36</w:t>
                  </w:r>
                </w:p>
              </w:tc>
              <w:tc>
                <w:tcPr>
                  <w:tcW w:w="1184" w:type="dxa"/>
                  <w:tcBorders>
                    <w:top w:val="single" w:color="auto" w:sz="12" w:space="0"/>
                  </w:tcBorders>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kern w:val="2"/>
                      <w:sz w:val="21"/>
                      <w:szCs w:val="21"/>
                      <w:lang w:val="en-US" w:eastAsia="zh-CN"/>
                    </w:rPr>
                    <w:t>1.085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vAlign w:val="center"/>
                </w:tcPr>
                <w:p>
                  <w:pPr>
                    <w:adjustRightInd w:val="0"/>
                    <w:snapToGrid w:val="0"/>
                    <w:spacing w:line="240" w:lineRule="auto"/>
                    <w:jc w:val="center"/>
                    <w:rPr>
                      <w:rFonts w:ascii="Times New Roman" w:hAnsi="Times New Roman" w:cs="Times New Roman"/>
                      <w:color w:val="auto"/>
                      <w:sz w:val="21"/>
                      <w:szCs w:val="21"/>
                    </w:rPr>
                  </w:pPr>
                </w:p>
              </w:tc>
              <w:tc>
                <w:tcPr>
                  <w:tcW w:w="1110" w:type="dxa"/>
                  <w:vAlign w:val="center"/>
                </w:tcPr>
                <w:p>
                  <w:pPr>
                    <w:autoSpaceDE w:val="0"/>
                    <w:autoSpaceDN w:val="0"/>
                    <w:adjustRightInd w:val="0"/>
                    <w:snapToGrid w:val="0"/>
                    <w:spacing w:line="240" w:lineRule="auto"/>
                    <w:jc w:val="center"/>
                    <w:textAlignment w:val="baseline"/>
                    <w:rPr>
                      <w:rFonts w:ascii="Times New Roman" w:hAnsi="Times New Roman" w:cs="Times New Roman"/>
                      <w:color w:val="auto"/>
                      <w:sz w:val="21"/>
                      <w:szCs w:val="21"/>
                    </w:rPr>
                  </w:pPr>
                  <w:r>
                    <w:rPr>
                      <w:rFonts w:ascii="Times New Roman" w:hAnsi="Times New Roman" w:cs="Times New Roman"/>
                      <w:color w:val="auto"/>
                      <w:sz w:val="21"/>
                      <w:szCs w:val="21"/>
                    </w:rPr>
                    <w:t>SO</w:t>
                  </w:r>
                  <w:r>
                    <w:rPr>
                      <w:rFonts w:ascii="Times New Roman" w:hAnsi="Times New Roman" w:cs="Times New Roman"/>
                      <w:color w:val="auto"/>
                      <w:sz w:val="21"/>
                      <w:szCs w:val="21"/>
                      <w:vertAlign w:val="subscript"/>
                    </w:rPr>
                    <w:t>2</w:t>
                  </w:r>
                </w:p>
              </w:tc>
              <w:tc>
                <w:tcPr>
                  <w:tcW w:w="1217" w:type="dxa"/>
                  <w:vAlign w:val="center"/>
                </w:tcPr>
                <w:p>
                  <w:pPr>
                    <w:spacing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rPr>
                    <w:t>1.</w:t>
                  </w:r>
                  <w:r>
                    <w:rPr>
                      <w:rFonts w:hint="eastAsia" w:ascii="Times New Roman" w:hAnsi="Times New Roman" w:cs="Times New Roman"/>
                      <w:color w:val="auto"/>
                      <w:sz w:val="21"/>
                      <w:szCs w:val="21"/>
                      <w:lang w:val="en-US" w:eastAsia="zh-CN"/>
                    </w:rPr>
                    <w:t>057</w:t>
                  </w:r>
                </w:p>
              </w:tc>
              <w:tc>
                <w:tcPr>
                  <w:tcW w:w="1343"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kern w:val="2"/>
                      <w:sz w:val="21"/>
                      <w:szCs w:val="21"/>
                    </w:rPr>
                    <w:t>0.</w:t>
                  </w:r>
                  <w:r>
                    <w:rPr>
                      <w:rFonts w:hint="eastAsia" w:ascii="Times New Roman" w:hAnsi="Times New Roman" w:cs="Times New Roman"/>
                      <w:bCs/>
                      <w:color w:val="auto"/>
                      <w:kern w:val="2"/>
                      <w:sz w:val="21"/>
                      <w:szCs w:val="21"/>
                      <w:lang w:val="en-US" w:eastAsia="zh-CN"/>
                    </w:rPr>
                    <w:t>599</w:t>
                  </w:r>
                </w:p>
              </w:tc>
              <w:tc>
                <w:tcPr>
                  <w:tcW w:w="1646"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color w:val="auto"/>
                      <w:sz w:val="21"/>
                      <w:szCs w:val="21"/>
                    </w:rPr>
                  </w:pPr>
                  <w:r>
                    <w:rPr>
                      <w:rFonts w:hint="eastAsia" w:ascii="Times New Roman" w:hAnsi="Times New Roman" w:cs="Times New Roman"/>
                      <w:bCs/>
                      <w:color w:val="auto"/>
                      <w:sz w:val="21"/>
                      <w:szCs w:val="21"/>
                    </w:rPr>
                    <w:t>0</w:t>
                  </w:r>
                </w:p>
              </w:tc>
              <w:tc>
                <w:tcPr>
                  <w:tcW w:w="1192"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sz w:val="21"/>
                      <w:szCs w:val="21"/>
                    </w:rPr>
                    <w:t>+</w:t>
                  </w:r>
                  <w:r>
                    <w:rPr>
                      <w:rFonts w:hint="eastAsia" w:ascii="Times New Roman" w:hAnsi="Times New Roman" w:cs="Times New Roman"/>
                      <w:color w:val="auto"/>
                      <w:sz w:val="21"/>
                      <w:szCs w:val="21"/>
                    </w:rPr>
                    <w:t>0.</w:t>
                  </w:r>
                  <w:r>
                    <w:rPr>
                      <w:rFonts w:hint="eastAsia" w:ascii="Times New Roman" w:hAnsi="Times New Roman" w:cs="Times New Roman"/>
                      <w:color w:val="auto"/>
                      <w:sz w:val="21"/>
                      <w:szCs w:val="21"/>
                      <w:lang w:val="en-US" w:eastAsia="zh-CN"/>
                    </w:rPr>
                    <w:t>599</w:t>
                  </w:r>
                </w:p>
              </w:tc>
              <w:tc>
                <w:tcPr>
                  <w:tcW w:w="1184"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kern w:val="2"/>
                      <w:sz w:val="21"/>
                      <w:szCs w:val="21"/>
                      <w:lang w:val="en-US" w:eastAsia="zh-CN"/>
                    </w:rPr>
                    <w:t>1.656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vAlign w:val="center"/>
                </w:tcPr>
                <w:p>
                  <w:pPr>
                    <w:adjustRightInd w:val="0"/>
                    <w:snapToGrid w:val="0"/>
                    <w:spacing w:line="240" w:lineRule="auto"/>
                    <w:jc w:val="center"/>
                    <w:rPr>
                      <w:rFonts w:ascii="Times New Roman" w:hAnsi="Times New Roman" w:cs="Times New Roman"/>
                      <w:color w:val="auto"/>
                      <w:sz w:val="21"/>
                      <w:szCs w:val="21"/>
                    </w:rPr>
                  </w:pPr>
                </w:p>
              </w:tc>
              <w:tc>
                <w:tcPr>
                  <w:tcW w:w="1110" w:type="dxa"/>
                  <w:vAlign w:val="center"/>
                </w:tcPr>
                <w:p>
                  <w:pPr>
                    <w:autoSpaceDE w:val="0"/>
                    <w:autoSpaceDN w:val="0"/>
                    <w:adjustRightInd w:val="0"/>
                    <w:snapToGrid w:val="0"/>
                    <w:spacing w:line="240" w:lineRule="auto"/>
                    <w:jc w:val="center"/>
                    <w:textAlignment w:val="baseline"/>
                    <w:rPr>
                      <w:rFonts w:ascii="Times New Roman" w:hAnsi="Times New Roman" w:cs="Times New Roman"/>
                      <w:color w:val="auto"/>
                      <w:sz w:val="21"/>
                      <w:szCs w:val="21"/>
                    </w:rPr>
                  </w:pPr>
                  <w:r>
                    <w:rPr>
                      <w:rFonts w:ascii="Times New Roman" w:hAnsi="Times New Roman" w:cs="Times New Roman"/>
                      <w:color w:val="auto"/>
                      <w:sz w:val="21"/>
                      <w:szCs w:val="21"/>
                    </w:rPr>
                    <w:t>NO</w:t>
                  </w:r>
                  <w:r>
                    <w:rPr>
                      <w:rFonts w:ascii="Times New Roman" w:hAnsi="Times New Roman" w:cs="Times New Roman"/>
                      <w:color w:val="auto"/>
                      <w:sz w:val="21"/>
                      <w:szCs w:val="21"/>
                      <w:vertAlign w:val="subscript"/>
                    </w:rPr>
                    <w:t>X</w:t>
                  </w:r>
                </w:p>
              </w:tc>
              <w:tc>
                <w:tcPr>
                  <w:tcW w:w="1217"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3.519</w:t>
                  </w:r>
                </w:p>
              </w:tc>
              <w:tc>
                <w:tcPr>
                  <w:tcW w:w="1343"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sz w:val="21"/>
                      <w:szCs w:val="21"/>
                    </w:rPr>
                    <w:t>0.5</w:t>
                  </w:r>
                  <w:r>
                    <w:rPr>
                      <w:rFonts w:hint="eastAsia" w:ascii="Times New Roman" w:hAnsi="Times New Roman" w:cs="Times New Roman"/>
                      <w:bCs/>
                      <w:color w:val="auto"/>
                      <w:sz w:val="21"/>
                      <w:szCs w:val="21"/>
                      <w:lang w:val="en-US" w:eastAsia="zh-CN"/>
                    </w:rPr>
                    <w:t>72</w:t>
                  </w:r>
                </w:p>
              </w:tc>
              <w:tc>
                <w:tcPr>
                  <w:tcW w:w="1646"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color w:val="auto"/>
                      <w:sz w:val="21"/>
                      <w:szCs w:val="21"/>
                    </w:rPr>
                  </w:pPr>
                  <w:r>
                    <w:rPr>
                      <w:rFonts w:hint="eastAsia" w:ascii="Times New Roman" w:hAnsi="Times New Roman" w:cs="Times New Roman"/>
                      <w:bCs/>
                      <w:color w:val="auto"/>
                      <w:sz w:val="21"/>
                      <w:szCs w:val="21"/>
                    </w:rPr>
                    <w:t>0</w:t>
                  </w:r>
                </w:p>
              </w:tc>
              <w:tc>
                <w:tcPr>
                  <w:tcW w:w="1192"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sz w:val="21"/>
                      <w:szCs w:val="21"/>
                    </w:rPr>
                    <w:t>+0.5</w:t>
                  </w:r>
                  <w:r>
                    <w:rPr>
                      <w:rFonts w:hint="eastAsia" w:ascii="Times New Roman" w:hAnsi="Times New Roman" w:cs="Times New Roman"/>
                      <w:bCs/>
                      <w:color w:val="auto"/>
                      <w:sz w:val="21"/>
                      <w:szCs w:val="21"/>
                      <w:lang w:val="en-US" w:eastAsia="zh-CN"/>
                    </w:rPr>
                    <w:t>72</w:t>
                  </w:r>
                </w:p>
              </w:tc>
              <w:tc>
                <w:tcPr>
                  <w:tcW w:w="1184" w:type="dxa"/>
                  <w:vAlign w:val="center"/>
                </w:tcPr>
                <w:p>
                  <w:pPr>
                    <w:adjustRightInd w:val="0"/>
                    <w:snapToGrid w:val="0"/>
                    <w:spacing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4.091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食堂油烟</w:t>
                  </w:r>
                </w:p>
              </w:tc>
              <w:tc>
                <w:tcPr>
                  <w:tcW w:w="1110" w:type="dxa"/>
                  <w:vAlign w:val="center"/>
                </w:tcPr>
                <w:p>
                  <w:pPr>
                    <w:autoSpaceDE w:val="0"/>
                    <w:autoSpaceDN w:val="0"/>
                    <w:adjustRightInd w:val="0"/>
                    <w:snapToGrid w:val="0"/>
                    <w:spacing w:line="240" w:lineRule="auto"/>
                    <w:jc w:val="center"/>
                    <w:textAlignment w:val="baseline"/>
                    <w:rPr>
                      <w:rFonts w:ascii="Times New Roman" w:hAnsi="Times New Roman" w:cs="Times New Roman"/>
                      <w:color w:val="auto"/>
                      <w:sz w:val="21"/>
                      <w:szCs w:val="21"/>
                    </w:rPr>
                  </w:pPr>
                  <w:r>
                    <w:rPr>
                      <w:rFonts w:hint="eastAsia" w:ascii="Times New Roman" w:hAnsi="Times New Roman" w:cs="Times New Roman"/>
                      <w:color w:val="auto"/>
                      <w:sz w:val="21"/>
                      <w:szCs w:val="21"/>
                    </w:rPr>
                    <w:t>油烟</w:t>
                  </w:r>
                </w:p>
              </w:tc>
              <w:tc>
                <w:tcPr>
                  <w:tcW w:w="1217"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0.0048</w:t>
                  </w:r>
                </w:p>
              </w:tc>
              <w:tc>
                <w:tcPr>
                  <w:tcW w:w="1343"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sz w:val="21"/>
                      <w:szCs w:val="21"/>
                    </w:rPr>
                  </w:pPr>
                  <w:r>
                    <w:rPr>
                      <w:rFonts w:hint="eastAsia" w:ascii="Times New Roman" w:hAnsi="Times New Roman" w:cs="Times New Roman"/>
                      <w:bCs/>
                      <w:color w:val="auto"/>
                      <w:sz w:val="21"/>
                      <w:szCs w:val="21"/>
                    </w:rPr>
                    <w:t>0</w:t>
                  </w:r>
                </w:p>
              </w:tc>
              <w:tc>
                <w:tcPr>
                  <w:tcW w:w="1646"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192"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sz w:val="21"/>
                      <w:szCs w:val="21"/>
                    </w:rPr>
                  </w:pPr>
                  <w:r>
                    <w:rPr>
                      <w:rFonts w:hint="eastAsia" w:ascii="Times New Roman" w:hAnsi="Times New Roman" w:cs="Times New Roman"/>
                      <w:bCs/>
                      <w:color w:val="auto"/>
                      <w:sz w:val="21"/>
                      <w:szCs w:val="21"/>
                    </w:rPr>
                    <w:t>0</w:t>
                  </w:r>
                </w:p>
              </w:tc>
              <w:tc>
                <w:tcPr>
                  <w:tcW w:w="1184" w:type="dxa"/>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0.0048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炒锅油烟</w:t>
                  </w:r>
                </w:p>
              </w:tc>
              <w:tc>
                <w:tcPr>
                  <w:tcW w:w="1110" w:type="dxa"/>
                  <w:vAlign w:val="center"/>
                </w:tcPr>
                <w:p>
                  <w:pPr>
                    <w:autoSpaceDE w:val="0"/>
                    <w:autoSpaceDN w:val="0"/>
                    <w:adjustRightInd w:val="0"/>
                    <w:snapToGrid w:val="0"/>
                    <w:spacing w:line="240" w:lineRule="auto"/>
                    <w:jc w:val="center"/>
                    <w:textAlignment w:val="baseline"/>
                    <w:rPr>
                      <w:rFonts w:ascii="Times New Roman" w:hAnsi="Times New Roman" w:cs="Times New Roman"/>
                      <w:color w:val="auto"/>
                      <w:sz w:val="21"/>
                      <w:szCs w:val="21"/>
                    </w:rPr>
                  </w:pPr>
                  <w:r>
                    <w:rPr>
                      <w:rFonts w:hint="eastAsia" w:ascii="Times New Roman" w:hAnsi="Times New Roman" w:cs="Times New Roman"/>
                      <w:color w:val="auto"/>
                      <w:sz w:val="21"/>
                      <w:szCs w:val="21"/>
                    </w:rPr>
                    <w:t>油烟</w:t>
                  </w:r>
                </w:p>
              </w:tc>
              <w:tc>
                <w:tcPr>
                  <w:tcW w:w="1217"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0.0144</w:t>
                  </w:r>
                </w:p>
              </w:tc>
              <w:tc>
                <w:tcPr>
                  <w:tcW w:w="1343"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sz w:val="21"/>
                      <w:szCs w:val="21"/>
                    </w:rPr>
                  </w:pPr>
                  <w:r>
                    <w:rPr>
                      <w:rFonts w:hint="eastAsia" w:ascii="Times New Roman" w:hAnsi="Times New Roman" w:cs="Times New Roman"/>
                      <w:bCs/>
                      <w:color w:val="auto"/>
                      <w:sz w:val="21"/>
                      <w:szCs w:val="21"/>
                    </w:rPr>
                    <w:t>0</w:t>
                  </w:r>
                </w:p>
              </w:tc>
              <w:tc>
                <w:tcPr>
                  <w:tcW w:w="1646"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192"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sz w:val="21"/>
                      <w:szCs w:val="21"/>
                    </w:rPr>
                  </w:pPr>
                  <w:r>
                    <w:rPr>
                      <w:rFonts w:hint="eastAsia" w:ascii="Times New Roman" w:hAnsi="Times New Roman" w:cs="Times New Roman"/>
                      <w:bCs/>
                      <w:color w:val="auto"/>
                      <w:sz w:val="21"/>
                      <w:szCs w:val="21"/>
                    </w:rPr>
                    <w:t>0</w:t>
                  </w:r>
                </w:p>
              </w:tc>
              <w:tc>
                <w:tcPr>
                  <w:tcW w:w="1184" w:type="dxa"/>
                  <w:vAlign w:val="center"/>
                </w:tcPr>
                <w:p>
                  <w:pPr>
                    <w:adjustRightInd w:val="0"/>
                    <w:snapToGri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0.0144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restart"/>
                  <w:vAlign w:val="center"/>
                </w:tcPr>
                <w:p>
                  <w:pPr>
                    <w:adjustRightInd w:val="0"/>
                    <w:snapToGri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废水</w:t>
                  </w:r>
                </w:p>
              </w:tc>
              <w:tc>
                <w:tcPr>
                  <w:tcW w:w="1110" w:type="dxa"/>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COD</w:t>
                  </w:r>
                  <w:r>
                    <w:rPr>
                      <w:rFonts w:ascii="Times New Roman" w:hAnsi="Times New Roman" w:cs="Times New Roman"/>
                      <w:color w:val="auto"/>
                      <w:sz w:val="21"/>
                      <w:szCs w:val="21"/>
                      <w:vertAlign w:val="subscript"/>
                    </w:rPr>
                    <w:t>Cr</w:t>
                  </w:r>
                </w:p>
              </w:tc>
              <w:tc>
                <w:tcPr>
                  <w:tcW w:w="1217"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4.2435</w:t>
                  </w:r>
                </w:p>
              </w:tc>
              <w:tc>
                <w:tcPr>
                  <w:tcW w:w="1343"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ascii="Times New Roman" w:hAnsi="Times New Roman" w:cs="Times New Roman"/>
                      <w:bCs/>
                      <w:color w:val="auto"/>
                      <w:kern w:val="2"/>
                      <w:sz w:val="21"/>
                      <w:szCs w:val="21"/>
                    </w:rPr>
                    <w:t>0.</w:t>
                  </w:r>
                  <w:r>
                    <w:rPr>
                      <w:rFonts w:hint="eastAsia" w:ascii="Times New Roman" w:hAnsi="Times New Roman" w:cs="Times New Roman"/>
                      <w:bCs/>
                      <w:color w:val="auto"/>
                      <w:kern w:val="2"/>
                      <w:sz w:val="21"/>
                      <w:szCs w:val="21"/>
                      <w:lang w:val="en-US" w:eastAsia="zh-CN"/>
                    </w:rPr>
                    <w:t>1016</w:t>
                  </w:r>
                </w:p>
              </w:tc>
              <w:tc>
                <w:tcPr>
                  <w:tcW w:w="1646"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w:t>
                  </w:r>
                </w:p>
              </w:tc>
              <w:tc>
                <w:tcPr>
                  <w:tcW w:w="1192"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sz w:val="21"/>
                      <w:szCs w:val="21"/>
                    </w:rPr>
                    <w:t>+</w:t>
                  </w:r>
                  <w:r>
                    <w:rPr>
                      <w:rFonts w:ascii="Times New Roman" w:hAnsi="Times New Roman" w:cs="Times New Roman"/>
                      <w:bCs/>
                      <w:color w:val="auto"/>
                      <w:kern w:val="2"/>
                      <w:sz w:val="21"/>
                      <w:szCs w:val="21"/>
                    </w:rPr>
                    <w:t>0.</w:t>
                  </w:r>
                  <w:r>
                    <w:rPr>
                      <w:rFonts w:hint="eastAsia" w:ascii="Times New Roman" w:hAnsi="Times New Roman" w:cs="Times New Roman"/>
                      <w:bCs/>
                      <w:color w:val="auto"/>
                      <w:kern w:val="2"/>
                      <w:sz w:val="21"/>
                      <w:szCs w:val="21"/>
                      <w:lang w:val="en-US" w:eastAsia="zh-CN"/>
                    </w:rPr>
                    <w:t>1016</w:t>
                  </w:r>
                </w:p>
              </w:tc>
              <w:tc>
                <w:tcPr>
                  <w:tcW w:w="1184"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kern w:val="2"/>
                      <w:sz w:val="21"/>
                      <w:szCs w:val="21"/>
                      <w:lang w:val="en-US" w:eastAsia="zh-CN"/>
                    </w:rPr>
                    <w:t>4.3451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vAlign w:val="center"/>
                </w:tcPr>
                <w:p>
                  <w:pPr>
                    <w:adjustRightInd w:val="0"/>
                    <w:snapToGrid w:val="0"/>
                    <w:spacing w:line="240" w:lineRule="auto"/>
                    <w:jc w:val="center"/>
                    <w:rPr>
                      <w:rFonts w:ascii="Times New Roman" w:hAnsi="Times New Roman" w:cs="Times New Roman"/>
                      <w:color w:val="auto"/>
                      <w:sz w:val="21"/>
                      <w:szCs w:val="21"/>
                    </w:rPr>
                  </w:pPr>
                </w:p>
              </w:tc>
              <w:tc>
                <w:tcPr>
                  <w:tcW w:w="1110" w:type="dxa"/>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NH</w:t>
                  </w:r>
                  <w:r>
                    <w:rPr>
                      <w:rFonts w:ascii="Times New Roman" w:hAnsi="Times New Roman" w:cs="Times New Roman"/>
                      <w:color w:val="auto"/>
                      <w:sz w:val="21"/>
                      <w:szCs w:val="21"/>
                      <w:vertAlign w:val="subscript"/>
                    </w:rPr>
                    <w:t>3</w:t>
                  </w:r>
                  <w:r>
                    <w:rPr>
                      <w:rFonts w:ascii="Times New Roman" w:hAnsi="Times New Roman" w:cs="Times New Roman"/>
                      <w:color w:val="auto"/>
                      <w:sz w:val="21"/>
                      <w:szCs w:val="21"/>
                    </w:rPr>
                    <w:t>-N</w:t>
                  </w:r>
                </w:p>
              </w:tc>
              <w:tc>
                <w:tcPr>
                  <w:tcW w:w="1217"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0.4244</w:t>
                  </w:r>
                </w:p>
              </w:tc>
              <w:tc>
                <w:tcPr>
                  <w:tcW w:w="1343"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ascii="Times New Roman" w:hAnsi="Times New Roman" w:cs="Times New Roman"/>
                      <w:bCs/>
                      <w:color w:val="auto"/>
                      <w:kern w:val="2"/>
                      <w:sz w:val="21"/>
                      <w:szCs w:val="21"/>
                    </w:rPr>
                    <w:t>0.0</w:t>
                  </w:r>
                  <w:r>
                    <w:rPr>
                      <w:rFonts w:hint="eastAsia" w:ascii="Times New Roman" w:hAnsi="Times New Roman" w:cs="Times New Roman"/>
                      <w:bCs/>
                      <w:color w:val="auto"/>
                      <w:kern w:val="2"/>
                      <w:sz w:val="21"/>
                      <w:szCs w:val="21"/>
                      <w:lang w:val="en-US" w:eastAsia="zh-CN"/>
                    </w:rPr>
                    <w:t>102</w:t>
                  </w:r>
                </w:p>
              </w:tc>
              <w:tc>
                <w:tcPr>
                  <w:tcW w:w="1646"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w:t>
                  </w:r>
                </w:p>
              </w:tc>
              <w:tc>
                <w:tcPr>
                  <w:tcW w:w="1192"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sz w:val="21"/>
                      <w:szCs w:val="21"/>
                    </w:rPr>
                    <w:t>+</w:t>
                  </w:r>
                  <w:r>
                    <w:rPr>
                      <w:rFonts w:ascii="Times New Roman" w:hAnsi="Times New Roman" w:cs="Times New Roman"/>
                      <w:bCs/>
                      <w:color w:val="auto"/>
                      <w:kern w:val="2"/>
                      <w:sz w:val="21"/>
                      <w:szCs w:val="21"/>
                    </w:rPr>
                    <w:t>0.</w:t>
                  </w:r>
                  <w:r>
                    <w:rPr>
                      <w:rFonts w:hint="eastAsia" w:ascii="Times New Roman" w:hAnsi="Times New Roman" w:cs="Times New Roman"/>
                      <w:bCs/>
                      <w:color w:val="auto"/>
                      <w:kern w:val="2"/>
                      <w:sz w:val="21"/>
                      <w:szCs w:val="21"/>
                      <w:lang w:val="en-US" w:eastAsia="zh-CN"/>
                    </w:rPr>
                    <w:t>0102</w:t>
                  </w:r>
                </w:p>
              </w:tc>
              <w:tc>
                <w:tcPr>
                  <w:tcW w:w="1184"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bCs/>
                      <w:color w:val="auto"/>
                      <w:kern w:val="2"/>
                      <w:sz w:val="21"/>
                      <w:szCs w:val="21"/>
                    </w:rPr>
                    <w:t>0.</w:t>
                  </w:r>
                  <w:r>
                    <w:rPr>
                      <w:rFonts w:hint="eastAsia" w:ascii="Times New Roman" w:hAnsi="Times New Roman" w:cs="Times New Roman"/>
                      <w:bCs/>
                      <w:color w:val="auto"/>
                      <w:kern w:val="2"/>
                      <w:sz w:val="21"/>
                      <w:szCs w:val="21"/>
                      <w:lang w:val="en-US" w:eastAsia="zh-CN"/>
                    </w:rPr>
                    <w:t>4346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vAlign w:val="center"/>
                </w:tcPr>
                <w:p>
                  <w:pPr>
                    <w:adjustRightInd w:val="0"/>
                    <w:snapToGrid w:val="0"/>
                    <w:spacing w:line="240" w:lineRule="auto"/>
                    <w:jc w:val="center"/>
                    <w:rPr>
                      <w:rFonts w:ascii="Times New Roman" w:hAnsi="Times New Roman" w:cs="Times New Roman"/>
                      <w:color w:val="auto"/>
                      <w:sz w:val="21"/>
                      <w:szCs w:val="21"/>
                    </w:rPr>
                  </w:pPr>
                </w:p>
              </w:tc>
              <w:tc>
                <w:tcPr>
                  <w:tcW w:w="1110" w:type="dxa"/>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BOD</w:t>
                  </w:r>
                  <w:r>
                    <w:rPr>
                      <w:rFonts w:ascii="Times New Roman" w:hAnsi="Times New Roman" w:cs="Times New Roman"/>
                      <w:color w:val="auto"/>
                      <w:sz w:val="21"/>
                      <w:szCs w:val="21"/>
                      <w:vertAlign w:val="subscript"/>
                    </w:rPr>
                    <w:t>5</w:t>
                  </w:r>
                </w:p>
              </w:tc>
              <w:tc>
                <w:tcPr>
                  <w:tcW w:w="1217"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0.8487</w:t>
                  </w:r>
                </w:p>
              </w:tc>
              <w:tc>
                <w:tcPr>
                  <w:tcW w:w="1343"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kern w:val="2"/>
                      <w:sz w:val="21"/>
                      <w:szCs w:val="21"/>
                    </w:rPr>
                  </w:pPr>
                  <w:r>
                    <w:rPr>
                      <w:rFonts w:hint="eastAsia" w:ascii="Times New Roman" w:hAnsi="Times New Roman" w:cs="Times New Roman"/>
                      <w:bCs/>
                      <w:color w:val="auto"/>
                      <w:kern w:val="2"/>
                      <w:sz w:val="21"/>
                      <w:szCs w:val="21"/>
                    </w:rPr>
                    <w:t>0</w:t>
                  </w:r>
                </w:p>
              </w:tc>
              <w:tc>
                <w:tcPr>
                  <w:tcW w:w="1646"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192"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sz w:val="21"/>
                      <w:szCs w:val="21"/>
                    </w:rPr>
                  </w:pPr>
                  <w:r>
                    <w:rPr>
                      <w:rFonts w:hint="eastAsia" w:ascii="Times New Roman" w:hAnsi="Times New Roman" w:cs="Times New Roman"/>
                      <w:bCs/>
                      <w:color w:val="auto"/>
                      <w:sz w:val="21"/>
                      <w:szCs w:val="21"/>
                    </w:rPr>
                    <w:t>0</w:t>
                  </w:r>
                </w:p>
              </w:tc>
              <w:tc>
                <w:tcPr>
                  <w:tcW w:w="1184"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kern w:val="2"/>
                      <w:sz w:val="21"/>
                      <w:szCs w:val="21"/>
                    </w:rPr>
                  </w:pPr>
                  <w:r>
                    <w:rPr>
                      <w:rFonts w:hint="eastAsia" w:ascii="Times New Roman" w:hAnsi="Times New Roman" w:cs="Times New Roman"/>
                      <w:bCs/>
                      <w:color w:val="auto"/>
                      <w:kern w:val="2"/>
                      <w:sz w:val="21"/>
                      <w:szCs w:val="21"/>
                    </w:rPr>
                    <w:t>0.8487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vAlign w:val="center"/>
                </w:tcPr>
                <w:p>
                  <w:pPr>
                    <w:adjustRightInd w:val="0"/>
                    <w:snapToGrid w:val="0"/>
                    <w:spacing w:line="240" w:lineRule="auto"/>
                    <w:jc w:val="center"/>
                    <w:rPr>
                      <w:rFonts w:ascii="Times New Roman" w:hAnsi="Times New Roman" w:cs="Times New Roman"/>
                      <w:color w:val="auto"/>
                      <w:sz w:val="21"/>
                      <w:szCs w:val="21"/>
                    </w:rPr>
                  </w:pPr>
                </w:p>
              </w:tc>
              <w:tc>
                <w:tcPr>
                  <w:tcW w:w="1110" w:type="dxa"/>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悬浮物</w:t>
                  </w:r>
                </w:p>
              </w:tc>
              <w:tc>
                <w:tcPr>
                  <w:tcW w:w="1217"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0.8487</w:t>
                  </w:r>
                </w:p>
              </w:tc>
              <w:tc>
                <w:tcPr>
                  <w:tcW w:w="1343"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bCs/>
                      <w:color w:val="auto"/>
                      <w:kern w:val="2"/>
                      <w:sz w:val="21"/>
                      <w:szCs w:val="21"/>
                      <w:lang w:val="en-US" w:eastAsia="zh-CN"/>
                    </w:rPr>
                  </w:pPr>
                  <w:r>
                    <w:rPr>
                      <w:rFonts w:hint="eastAsia" w:ascii="Times New Roman" w:hAnsi="Times New Roman" w:cs="Times New Roman"/>
                      <w:bCs/>
                      <w:color w:val="auto"/>
                      <w:kern w:val="2"/>
                      <w:sz w:val="21"/>
                      <w:szCs w:val="21"/>
                    </w:rPr>
                    <w:t>0.0</w:t>
                  </w:r>
                  <w:r>
                    <w:rPr>
                      <w:rFonts w:hint="eastAsia" w:ascii="Times New Roman" w:hAnsi="Times New Roman" w:cs="Times New Roman"/>
                      <w:bCs/>
                      <w:color w:val="auto"/>
                      <w:kern w:val="2"/>
                      <w:sz w:val="21"/>
                      <w:szCs w:val="21"/>
                      <w:lang w:val="en-US" w:eastAsia="zh-CN"/>
                    </w:rPr>
                    <w:t>203</w:t>
                  </w:r>
                </w:p>
              </w:tc>
              <w:tc>
                <w:tcPr>
                  <w:tcW w:w="1646"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192"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bCs/>
                      <w:color w:val="auto"/>
                      <w:sz w:val="21"/>
                      <w:szCs w:val="21"/>
                      <w:lang w:val="en-US" w:eastAsia="zh-CN"/>
                    </w:rPr>
                  </w:pPr>
                  <w:r>
                    <w:rPr>
                      <w:rFonts w:hint="eastAsia" w:ascii="Times New Roman" w:hAnsi="Times New Roman" w:cs="Times New Roman"/>
                      <w:bCs/>
                      <w:color w:val="auto"/>
                      <w:sz w:val="21"/>
                      <w:szCs w:val="21"/>
                    </w:rPr>
                    <w:t>+</w:t>
                  </w:r>
                  <w:r>
                    <w:rPr>
                      <w:rFonts w:ascii="Times New Roman" w:hAnsi="Times New Roman" w:cs="Times New Roman"/>
                      <w:bCs/>
                      <w:color w:val="auto"/>
                      <w:kern w:val="2"/>
                      <w:sz w:val="21"/>
                      <w:szCs w:val="21"/>
                    </w:rPr>
                    <w:t>0.0</w:t>
                  </w:r>
                  <w:r>
                    <w:rPr>
                      <w:rFonts w:hint="eastAsia" w:ascii="Times New Roman" w:hAnsi="Times New Roman" w:cs="Times New Roman"/>
                      <w:bCs/>
                      <w:color w:val="auto"/>
                      <w:kern w:val="2"/>
                      <w:sz w:val="21"/>
                      <w:szCs w:val="21"/>
                      <w:lang w:val="en-US" w:eastAsia="zh-CN"/>
                    </w:rPr>
                    <w:t>203</w:t>
                  </w:r>
                </w:p>
              </w:tc>
              <w:tc>
                <w:tcPr>
                  <w:tcW w:w="1184"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bCs/>
                      <w:color w:val="auto"/>
                      <w:kern w:val="2"/>
                      <w:sz w:val="21"/>
                      <w:szCs w:val="21"/>
                      <w:lang w:val="en-US" w:eastAsia="zh-CN"/>
                    </w:rPr>
                  </w:pPr>
                  <w:r>
                    <w:rPr>
                      <w:rFonts w:hint="eastAsia" w:ascii="Times New Roman" w:hAnsi="Times New Roman" w:cs="Times New Roman"/>
                      <w:bCs/>
                      <w:color w:val="auto"/>
                      <w:kern w:val="2"/>
                      <w:sz w:val="21"/>
                      <w:szCs w:val="21"/>
                    </w:rPr>
                    <w:t>0.</w:t>
                  </w:r>
                  <w:r>
                    <w:rPr>
                      <w:rFonts w:hint="eastAsia" w:ascii="Times New Roman" w:hAnsi="Times New Roman" w:cs="Times New Roman"/>
                      <w:bCs/>
                      <w:color w:val="auto"/>
                      <w:kern w:val="2"/>
                      <w:sz w:val="21"/>
                      <w:szCs w:val="21"/>
                      <w:lang w:val="en-US" w:eastAsia="zh-CN"/>
                    </w:rPr>
                    <w:t>869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vAlign w:val="center"/>
                </w:tcPr>
                <w:p>
                  <w:pPr>
                    <w:adjustRightInd w:val="0"/>
                    <w:snapToGrid w:val="0"/>
                    <w:spacing w:line="240" w:lineRule="auto"/>
                    <w:jc w:val="center"/>
                    <w:rPr>
                      <w:rFonts w:ascii="Times New Roman" w:hAnsi="Times New Roman" w:cs="Times New Roman"/>
                      <w:color w:val="auto"/>
                      <w:sz w:val="21"/>
                      <w:szCs w:val="21"/>
                    </w:rPr>
                  </w:pPr>
                </w:p>
              </w:tc>
              <w:tc>
                <w:tcPr>
                  <w:tcW w:w="1110" w:type="dxa"/>
                  <w:vAlign w:val="center"/>
                </w:tcPr>
                <w:p>
                  <w:pPr>
                    <w:adjustRightInd w:val="0"/>
                    <w:snapToGri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动植物油</w:t>
                  </w:r>
                </w:p>
              </w:tc>
              <w:tc>
                <w:tcPr>
                  <w:tcW w:w="1217"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0.0849</w:t>
                  </w:r>
                </w:p>
              </w:tc>
              <w:tc>
                <w:tcPr>
                  <w:tcW w:w="1343"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kern w:val="2"/>
                      <w:sz w:val="21"/>
                      <w:szCs w:val="21"/>
                    </w:rPr>
                  </w:pPr>
                  <w:r>
                    <w:rPr>
                      <w:rFonts w:hint="eastAsia" w:ascii="Times New Roman" w:hAnsi="Times New Roman" w:cs="Times New Roman"/>
                      <w:bCs/>
                      <w:color w:val="auto"/>
                      <w:kern w:val="2"/>
                      <w:sz w:val="21"/>
                      <w:szCs w:val="21"/>
                    </w:rPr>
                    <w:t>0</w:t>
                  </w:r>
                </w:p>
              </w:tc>
              <w:tc>
                <w:tcPr>
                  <w:tcW w:w="1646"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192"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sz w:val="21"/>
                      <w:szCs w:val="21"/>
                    </w:rPr>
                  </w:pPr>
                  <w:r>
                    <w:rPr>
                      <w:rFonts w:hint="eastAsia" w:ascii="Times New Roman" w:hAnsi="Times New Roman" w:cs="Times New Roman"/>
                      <w:bCs/>
                      <w:color w:val="auto"/>
                      <w:sz w:val="21"/>
                      <w:szCs w:val="21"/>
                    </w:rPr>
                    <w:t>0</w:t>
                  </w:r>
                </w:p>
              </w:tc>
              <w:tc>
                <w:tcPr>
                  <w:tcW w:w="1184"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kern w:val="2"/>
                      <w:sz w:val="21"/>
                      <w:szCs w:val="21"/>
                    </w:rPr>
                  </w:pPr>
                  <w:r>
                    <w:rPr>
                      <w:rFonts w:hint="eastAsia" w:ascii="Times New Roman" w:hAnsi="Times New Roman" w:cs="Times New Roman"/>
                      <w:bCs/>
                      <w:color w:val="auto"/>
                      <w:kern w:val="2"/>
                      <w:sz w:val="21"/>
                      <w:szCs w:val="21"/>
                    </w:rPr>
                    <w:t>0.0849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restart"/>
                  <w:vAlign w:val="center"/>
                </w:tcPr>
                <w:p>
                  <w:pPr>
                    <w:adjustRightInd w:val="0"/>
                    <w:snapToGri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固废</w:t>
                  </w:r>
                </w:p>
              </w:tc>
              <w:tc>
                <w:tcPr>
                  <w:tcW w:w="1110"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废酸菜</w:t>
                  </w:r>
                </w:p>
              </w:tc>
              <w:tc>
                <w:tcPr>
                  <w:tcW w:w="1217"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24</w:t>
                  </w:r>
                </w:p>
              </w:tc>
              <w:tc>
                <w:tcPr>
                  <w:tcW w:w="1343"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kern w:val="2"/>
                      <w:sz w:val="21"/>
                      <w:szCs w:val="21"/>
                    </w:rPr>
                  </w:pPr>
                  <w:r>
                    <w:rPr>
                      <w:rFonts w:hint="eastAsia" w:ascii="Times New Roman" w:hAnsi="Times New Roman" w:cs="Times New Roman"/>
                      <w:bCs/>
                      <w:color w:val="auto"/>
                      <w:kern w:val="2"/>
                      <w:sz w:val="21"/>
                      <w:szCs w:val="21"/>
                    </w:rPr>
                    <w:t>0</w:t>
                  </w:r>
                </w:p>
              </w:tc>
              <w:tc>
                <w:tcPr>
                  <w:tcW w:w="1646"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192"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kern w:val="2"/>
                      <w:sz w:val="21"/>
                      <w:szCs w:val="21"/>
                    </w:rPr>
                  </w:pPr>
                  <w:r>
                    <w:rPr>
                      <w:rFonts w:hint="eastAsia" w:ascii="Times New Roman" w:hAnsi="Times New Roman" w:cs="Times New Roman"/>
                      <w:bCs/>
                      <w:color w:val="auto"/>
                      <w:kern w:val="2"/>
                      <w:sz w:val="21"/>
                      <w:szCs w:val="21"/>
                    </w:rPr>
                    <w:t>0</w:t>
                  </w:r>
                </w:p>
              </w:tc>
              <w:tc>
                <w:tcPr>
                  <w:tcW w:w="1184"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kern w:val="2"/>
                      <w:sz w:val="21"/>
                      <w:szCs w:val="21"/>
                    </w:rPr>
                  </w:pPr>
                  <w:r>
                    <w:rPr>
                      <w:rFonts w:hint="eastAsia" w:ascii="Times New Roman" w:hAnsi="Times New Roman" w:cs="Times New Roman"/>
                      <w:bCs/>
                      <w:color w:val="auto"/>
                      <w:kern w:val="2"/>
                      <w:sz w:val="21"/>
                      <w:szCs w:val="21"/>
                    </w:rPr>
                    <w:t>24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vAlign w:val="center"/>
                </w:tcPr>
                <w:p>
                  <w:pPr>
                    <w:adjustRightInd w:val="0"/>
                    <w:snapToGrid w:val="0"/>
                    <w:spacing w:line="240" w:lineRule="auto"/>
                    <w:jc w:val="center"/>
                    <w:rPr>
                      <w:rFonts w:ascii="Times New Roman" w:hAnsi="Times New Roman" w:cs="Times New Roman"/>
                      <w:color w:val="auto"/>
                      <w:sz w:val="21"/>
                      <w:szCs w:val="21"/>
                    </w:rPr>
                  </w:pPr>
                </w:p>
              </w:tc>
              <w:tc>
                <w:tcPr>
                  <w:tcW w:w="1110" w:type="dxa"/>
                  <w:vAlign w:val="center"/>
                </w:tcPr>
                <w:p>
                  <w:pPr>
                    <w:adjustRightInd w:val="0"/>
                    <w:snapToGrid w:val="0"/>
                    <w:spacing w:line="240" w:lineRule="auto"/>
                    <w:jc w:val="center"/>
                    <w:rPr>
                      <w:rFonts w:ascii="Times New Roman" w:hAnsi="Times New Roman" w:cs="Times New Roman"/>
                      <w:color w:val="auto"/>
                      <w:sz w:val="21"/>
                      <w:szCs w:val="21"/>
                      <w:lang w:val="zh-TW"/>
                    </w:rPr>
                  </w:pPr>
                  <w:r>
                    <w:rPr>
                      <w:rFonts w:hint="eastAsia" w:ascii="Times New Roman" w:hAnsi="Times New Roman" w:cs="Times New Roman"/>
                      <w:color w:val="auto"/>
                      <w:sz w:val="21"/>
                      <w:szCs w:val="21"/>
                      <w:lang w:val="zh-TW"/>
                    </w:rPr>
                    <w:t>生活垃圾</w:t>
                  </w:r>
                </w:p>
              </w:tc>
              <w:tc>
                <w:tcPr>
                  <w:tcW w:w="1217"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1003.8</w:t>
                  </w:r>
                </w:p>
              </w:tc>
              <w:tc>
                <w:tcPr>
                  <w:tcW w:w="1343"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kern w:val="2"/>
                      <w:sz w:val="21"/>
                      <w:szCs w:val="21"/>
                    </w:rPr>
                  </w:pPr>
                  <w:r>
                    <w:rPr>
                      <w:rFonts w:hint="eastAsia" w:ascii="Times New Roman" w:hAnsi="Times New Roman" w:cs="Times New Roman"/>
                      <w:bCs/>
                      <w:color w:val="auto"/>
                      <w:kern w:val="2"/>
                      <w:sz w:val="21"/>
                      <w:szCs w:val="21"/>
                    </w:rPr>
                    <w:t>0</w:t>
                  </w:r>
                </w:p>
              </w:tc>
              <w:tc>
                <w:tcPr>
                  <w:tcW w:w="1646"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w:t>
                  </w:r>
                </w:p>
              </w:tc>
              <w:tc>
                <w:tcPr>
                  <w:tcW w:w="1192"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kern w:val="2"/>
                      <w:sz w:val="21"/>
                      <w:szCs w:val="21"/>
                    </w:rPr>
                  </w:pPr>
                  <w:r>
                    <w:rPr>
                      <w:rFonts w:hint="eastAsia" w:ascii="Times New Roman" w:hAnsi="Times New Roman" w:cs="Times New Roman"/>
                      <w:bCs/>
                      <w:color w:val="auto"/>
                      <w:kern w:val="2"/>
                      <w:sz w:val="21"/>
                      <w:szCs w:val="21"/>
                    </w:rPr>
                    <w:t>0</w:t>
                  </w:r>
                </w:p>
              </w:tc>
              <w:tc>
                <w:tcPr>
                  <w:tcW w:w="1184" w:type="dxa"/>
                  <w:vAlign w:val="center"/>
                </w:tcPr>
                <w:p>
                  <w:pPr>
                    <w:pStyle w:val="14"/>
                    <w:widowControl w:val="0"/>
                    <w:adjustRightInd w:val="0"/>
                    <w:snapToGrid w:val="0"/>
                    <w:spacing w:before="0" w:beforeAutospacing="0" w:after="0" w:afterAutospacing="0" w:line="240" w:lineRule="auto"/>
                    <w:jc w:val="center"/>
                    <w:rPr>
                      <w:rFonts w:ascii="Times New Roman" w:hAnsi="Times New Roman" w:cs="Times New Roman"/>
                      <w:bCs/>
                      <w:color w:val="auto"/>
                      <w:kern w:val="2"/>
                      <w:sz w:val="21"/>
                      <w:szCs w:val="21"/>
                    </w:rPr>
                  </w:pPr>
                  <w:r>
                    <w:rPr>
                      <w:rFonts w:hint="eastAsia" w:ascii="Times New Roman" w:hAnsi="Times New Roman" w:cs="Times New Roman"/>
                      <w:bCs/>
                      <w:color w:val="auto"/>
                      <w:kern w:val="2"/>
                      <w:sz w:val="21"/>
                      <w:szCs w:val="21"/>
                    </w:rPr>
                    <w:t>1003.8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vAlign w:val="center"/>
                </w:tcPr>
                <w:p>
                  <w:pPr>
                    <w:adjustRightInd w:val="0"/>
                    <w:snapToGrid w:val="0"/>
                    <w:spacing w:line="240" w:lineRule="auto"/>
                    <w:jc w:val="center"/>
                    <w:rPr>
                      <w:rFonts w:ascii="Times New Roman" w:hAnsi="Times New Roman" w:cs="Times New Roman"/>
                      <w:color w:val="auto"/>
                      <w:sz w:val="21"/>
                      <w:szCs w:val="21"/>
                    </w:rPr>
                  </w:pPr>
                </w:p>
              </w:tc>
              <w:tc>
                <w:tcPr>
                  <w:tcW w:w="1110" w:type="dxa"/>
                  <w:vAlign w:val="center"/>
                </w:tcPr>
                <w:p>
                  <w:pPr>
                    <w:adjustRightInd w:val="0"/>
                    <w:snapToGrid w:val="0"/>
                    <w:spacing w:line="240" w:lineRule="auto"/>
                    <w:jc w:val="center"/>
                    <w:rPr>
                      <w:rFonts w:hint="eastAsia" w:ascii="Times New Roman" w:hAnsi="Times New Roman" w:cs="Times New Roman" w:eastAsiaTheme="minorEastAsia"/>
                      <w:color w:val="auto"/>
                      <w:sz w:val="21"/>
                      <w:szCs w:val="21"/>
                      <w:lang w:val="zh-TW" w:eastAsia="zh-CN"/>
                    </w:rPr>
                  </w:pPr>
                  <w:r>
                    <w:rPr>
                      <w:rFonts w:hint="eastAsia" w:ascii="Times New Roman" w:hAnsi="Times New Roman" w:cs="Times New Roman"/>
                      <w:color w:val="auto"/>
                      <w:sz w:val="21"/>
                      <w:szCs w:val="21"/>
                      <w:lang w:val="zh-TW" w:eastAsia="zh-CN"/>
                    </w:rPr>
                    <w:t>污泥</w:t>
                  </w:r>
                </w:p>
              </w:tc>
              <w:tc>
                <w:tcPr>
                  <w:tcW w:w="1217" w:type="dxa"/>
                  <w:vAlign w:val="center"/>
                </w:tcPr>
                <w:p>
                  <w:pPr>
                    <w:spacing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3.65</w:t>
                  </w:r>
                </w:p>
              </w:tc>
              <w:tc>
                <w:tcPr>
                  <w:tcW w:w="1343" w:type="dxa"/>
                  <w:vAlign w:val="center"/>
                </w:tcPr>
                <w:p>
                  <w:pPr>
                    <w:pStyle w:val="14"/>
                    <w:widowControl w:val="0"/>
                    <w:adjustRightInd w:val="0"/>
                    <w:snapToGrid w:val="0"/>
                    <w:spacing w:before="0" w:beforeAutospacing="0" w:after="0" w:afterAutospacing="0" w:line="240" w:lineRule="auto"/>
                    <w:jc w:val="center"/>
                    <w:rPr>
                      <w:rFonts w:hint="eastAsia" w:ascii="Times New Roman" w:hAnsi="Times New Roman" w:cs="Times New Roman" w:eastAsiaTheme="minorEastAsia"/>
                      <w:bCs/>
                      <w:color w:val="auto"/>
                      <w:kern w:val="2"/>
                      <w:sz w:val="21"/>
                      <w:szCs w:val="21"/>
                      <w:lang w:val="en-US" w:eastAsia="zh-CN"/>
                    </w:rPr>
                  </w:pPr>
                  <w:r>
                    <w:rPr>
                      <w:rFonts w:hint="eastAsia" w:ascii="Times New Roman" w:hAnsi="Times New Roman" w:cs="Times New Roman"/>
                      <w:bCs/>
                      <w:color w:val="auto"/>
                      <w:kern w:val="2"/>
                      <w:sz w:val="21"/>
                      <w:szCs w:val="21"/>
                      <w:lang w:val="en-US" w:eastAsia="zh-CN"/>
                    </w:rPr>
                    <w:t>0</w:t>
                  </w:r>
                </w:p>
              </w:tc>
              <w:tc>
                <w:tcPr>
                  <w:tcW w:w="1646" w:type="dxa"/>
                  <w:vAlign w:val="center"/>
                </w:tcPr>
                <w:p>
                  <w:pPr>
                    <w:pStyle w:val="14"/>
                    <w:widowControl w:val="0"/>
                    <w:adjustRightInd w:val="0"/>
                    <w:snapToGrid w:val="0"/>
                    <w:spacing w:before="0" w:beforeAutospacing="0" w:after="0" w:afterAutospacing="0" w:line="24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0</w:t>
                  </w:r>
                </w:p>
              </w:tc>
              <w:tc>
                <w:tcPr>
                  <w:tcW w:w="1192" w:type="dxa"/>
                  <w:vAlign w:val="center"/>
                </w:tcPr>
                <w:p>
                  <w:pPr>
                    <w:pStyle w:val="14"/>
                    <w:widowControl w:val="0"/>
                    <w:adjustRightInd w:val="0"/>
                    <w:snapToGrid w:val="0"/>
                    <w:spacing w:before="0" w:beforeAutospacing="0" w:after="0" w:afterAutospacing="0" w:line="240" w:lineRule="auto"/>
                    <w:jc w:val="center"/>
                    <w:rPr>
                      <w:rFonts w:hint="eastAsia" w:ascii="Times New Roman" w:hAnsi="Times New Roman" w:cs="Times New Roman" w:eastAsiaTheme="minorEastAsia"/>
                      <w:bCs/>
                      <w:color w:val="auto"/>
                      <w:kern w:val="2"/>
                      <w:sz w:val="21"/>
                      <w:szCs w:val="21"/>
                      <w:lang w:val="en-US" w:eastAsia="zh-CN"/>
                    </w:rPr>
                  </w:pPr>
                  <w:r>
                    <w:rPr>
                      <w:rFonts w:hint="eastAsia" w:ascii="Times New Roman" w:hAnsi="Times New Roman" w:cs="Times New Roman"/>
                      <w:bCs/>
                      <w:color w:val="auto"/>
                      <w:kern w:val="2"/>
                      <w:sz w:val="21"/>
                      <w:szCs w:val="21"/>
                      <w:lang w:val="en-US" w:eastAsia="zh-CN"/>
                    </w:rPr>
                    <w:t>0</w:t>
                  </w:r>
                </w:p>
              </w:tc>
              <w:tc>
                <w:tcPr>
                  <w:tcW w:w="1184" w:type="dxa"/>
                  <w:vAlign w:val="center"/>
                </w:tcPr>
                <w:p>
                  <w:pPr>
                    <w:pStyle w:val="14"/>
                    <w:widowControl w:val="0"/>
                    <w:adjustRightInd w:val="0"/>
                    <w:snapToGrid w:val="0"/>
                    <w:spacing w:before="0" w:beforeAutospacing="0" w:after="0" w:afterAutospacing="0" w:line="240" w:lineRule="auto"/>
                    <w:jc w:val="center"/>
                    <w:rPr>
                      <w:rFonts w:hint="default" w:ascii="Times New Roman" w:hAnsi="Times New Roman" w:cs="Times New Roman" w:eastAsiaTheme="minorEastAsia"/>
                      <w:bCs/>
                      <w:color w:val="auto"/>
                      <w:kern w:val="2"/>
                      <w:sz w:val="21"/>
                      <w:szCs w:val="21"/>
                      <w:lang w:val="en-US" w:eastAsia="zh-CN"/>
                    </w:rPr>
                  </w:pPr>
                  <w:r>
                    <w:rPr>
                      <w:rFonts w:hint="eastAsia" w:ascii="Times New Roman" w:hAnsi="Times New Roman" w:cs="Times New Roman"/>
                      <w:bCs/>
                      <w:color w:val="auto"/>
                      <w:kern w:val="2"/>
                      <w:sz w:val="21"/>
                      <w:szCs w:val="21"/>
                      <w:lang w:val="en-US" w:eastAsia="zh-CN"/>
                    </w:rPr>
                    <w:t>3.65</w:t>
                  </w:r>
                </w:p>
              </w:tc>
            </w:tr>
          </w:tbl>
          <w:p>
            <w:pPr>
              <w:ind w:firstLine="482"/>
              <w:rPr>
                <w:rFonts w:ascii="Times New Roman" w:hAnsi="Times New Roman" w:cs="Times New Roman"/>
                <w:color w:val="auto"/>
              </w:rPr>
            </w:pPr>
            <w:r>
              <w:rPr>
                <w:rFonts w:hint="eastAsia" w:ascii="Times New Roman" w:hAnsi="Times New Roman" w:cs="Times New Roman"/>
                <w:color w:val="auto"/>
              </w:rPr>
              <w:t>据上表可知，本项目新增一台15t/h的天然气锅炉后，废气污染物中SO</w:t>
            </w:r>
            <w:r>
              <w:rPr>
                <w:rFonts w:hint="eastAsia" w:ascii="Times New Roman" w:hAnsi="Times New Roman" w:cs="Times New Roman"/>
                <w:color w:val="auto"/>
                <w:vertAlign w:val="subscript"/>
              </w:rPr>
              <w:t>2</w:t>
            </w:r>
            <w:r>
              <w:rPr>
                <w:rFonts w:hint="eastAsia" w:ascii="Times New Roman" w:hAnsi="Times New Roman" w:cs="Times New Roman"/>
                <w:color w:val="auto"/>
              </w:rPr>
              <w:t>预计增加排放0.</w:t>
            </w:r>
            <w:r>
              <w:rPr>
                <w:rFonts w:hint="eastAsia" w:ascii="Times New Roman" w:hAnsi="Times New Roman" w:cs="Times New Roman"/>
                <w:color w:val="auto"/>
                <w:lang w:val="en-US" w:eastAsia="zh-CN"/>
              </w:rPr>
              <w:t>599</w:t>
            </w:r>
            <w:r>
              <w:rPr>
                <w:rFonts w:hint="eastAsia" w:ascii="Times New Roman" w:hAnsi="Times New Roman" w:cs="Times New Roman"/>
                <w:color w:val="auto"/>
              </w:rPr>
              <w:t>t/a，NOx预计增加排放0.5</w:t>
            </w:r>
            <w:r>
              <w:rPr>
                <w:rFonts w:hint="eastAsia" w:ascii="Times New Roman" w:hAnsi="Times New Roman" w:cs="Times New Roman"/>
                <w:color w:val="auto"/>
                <w:lang w:val="en-US" w:eastAsia="zh-CN"/>
              </w:rPr>
              <w:t>72</w:t>
            </w:r>
            <w:r>
              <w:rPr>
                <w:rFonts w:hint="eastAsia" w:ascii="Times New Roman" w:hAnsi="Times New Roman" w:cs="Times New Roman"/>
                <w:color w:val="auto"/>
              </w:rPr>
              <w:t>t/a，烟尘预计增加排放0.</w:t>
            </w:r>
            <w:r>
              <w:rPr>
                <w:rFonts w:hint="eastAsia" w:ascii="Times New Roman" w:hAnsi="Times New Roman" w:cs="Times New Roman"/>
                <w:color w:val="auto"/>
                <w:lang w:val="en-US" w:eastAsia="zh-CN"/>
              </w:rPr>
              <w:t>36</w:t>
            </w:r>
            <w:r>
              <w:rPr>
                <w:rFonts w:hint="eastAsia" w:ascii="Times New Roman" w:hAnsi="Times New Roman" w:cs="Times New Roman"/>
                <w:color w:val="auto"/>
              </w:rPr>
              <w:t>t/a，废水污染物中COD预计增加排放0.</w:t>
            </w:r>
            <w:r>
              <w:rPr>
                <w:rFonts w:hint="eastAsia" w:ascii="Times New Roman" w:hAnsi="Times New Roman" w:cs="Times New Roman"/>
                <w:color w:val="auto"/>
                <w:lang w:val="en-US" w:eastAsia="zh-CN"/>
              </w:rPr>
              <w:t>1016</w:t>
            </w:r>
            <w:r>
              <w:rPr>
                <w:rFonts w:hint="eastAsia" w:ascii="Times New Roman" w:hAnsi="Times New Roman" w:cs="Times New Roman"/>
                <w:color w:val="auto"/>
              </w:rPr>
              <w:t>t/a，NH</w:t>
            </w:r>
            <w:r>
              <w:rPr>
                <w:rFonts w:hint="eastAsia" w:ascii="Times New Roman" w:hAnsi="Times New Roman" w:cs="Times New Roman"/>
                <w:color w:val="auto"/>
                <w:vertAlign w:val="subscript"/>
              </w:rPr>
              <w:t>3</w:t>
            </w:r>
            <w:r>
              <w:rPr>
                <w:rFonts w:hint="eastAsia" w:ascii="Times New Roman" w:hAnsi="Times New Roman" w:cs="Times New Roman"/>
                <w:color w:val="auto"/>
              </w:rPr>
              <w:t>-</w:t>
            </w:r>
            <w:r>
              <w:rPr>
                <w:rFonts w:ascii="Times New Roman" w:hAnsi="Times New Roman" w:cs="Times New Roman"/>
                <w:color w:val="auto"/>
              </w:rPr>
              <w:t>N</w:t>
            </w:r>
            <w:r>
              <w:rPr>
                <w:rFonts w:hint="eastAsia" w:ascii="Times New Roman" w:hAnsi="Times New Roman" w:cs="Times New Roman"/>
                <w:color w:val="auto"/>
              </w:rPr>
              <w:t>预计增加排放0.0</w:t>
            </w:r>
            <w:r>
              <w:rPr>
                <w:rFonts w:hint="eastAsia" w:ascii="Times New Roman" w:hAnsi="Times New Roman" w:cs="Times New Roman"/>
                <w:color w:val="auto"/>
                <w:lang w:val="en-US" w:eastAsia="zh-CN"/>
              </w:rPr>
              <w:t>102</w:t>
            </w:r>
            <w:r>
              <w:rPr>
                <w:rFonts w:hint="eastAsia" w:ascii="Times New Roman" w:hAnsi="Times New Roman" w:cs="Times New Roman"/>
                <w:color w:val="auto"/>
              </w:rPr>
              <w:t>t/a，SS预计增加排放0.0</w:t>
            </w:r>
            <w:r>
              <w:rPr>
                <w:rFonts w:hint="eastAsia" w:ascii="Times New Roman" w:hAnsi="Times New Roman" w:cs="Times New Roman"/>
                <w:color w:val="auto"/>
                <w:lang w:val="en-US" w:eastAsia="zh-CN"/>
              </w:rPr>
              <w:t>203</w:t>
            </w:r>
            <w:r>
              <w:rPr>
                <w:rFonts w:hint="eastAsia" w:ascii="Times New Roman" w:hAnsi="Times New Roman" w:cs="Times New Roman"/>
                <w:color w:val="auto"/>
              </w:rPr>
              <w:t>t/a。</w:t>
            </w:r>
          </w:p>
          <w:p>
            <w:pPr>
              <w:ind w:firstLine="482"/>
              <w:rPr>
                <w:rFonts w:hint="eastAsia"/>
                <w:color w:val="auto"/>
                <w:u w:val="single"/>
                <w:lang w:val="en-US" w:eastAsia="zh-CN"/>
              </w:rPr>
            </w:pPr>
            <w:r>
              <w:rPr>
                <w:rFonts w:hint="eastAsia"/>
                <w:color w:val="auto"/>
                <w:u w:val="single"/>
                <w:lang w:eastAsia="zh-CN"/>
              </w:rPr>
              <w:t>综上，本项目建设完成后，对周边大气环境有一定的影响，</w:t>
            </w:r>
            <w:r>
              <w:rPr>
                <w:rFonts w:hint="eastAsia"/>
                <w:color w:val="auto"/>
                <w:u w:val="single"/>
                <w:lang w:val="en-US" w:eastAsia="zh-CN"/>
              </w:rPr>
              <w:t>SO</w:t>
            </w:r>
            <w:r>
              <w:rPr>
                <w:rFonts w:hint="eastAsia"/>
                <w:color w:val="auto"/>
                <w:u w:val="single"/>
                <w:vertAlign w:val="subscript"/>
                <w:lang w:val="en-US" w:eastAsia="zh-CN"/>
              </w:rPr>
              <w:t>2</w:t>
            </w:r>
            <w:r>
              <w:rPr>
                <w:rFonts w:hint="eastAsia"/>
                <w:color w:val="auto"/>
                <w:u w:val="single"/>
                <w:lang w:val="en-US" w:eastAsia="zh-CN"/>
              </w:rPr>
              <w:t>、NO</w:t>
            </w:r>
            <w:r>
              <w:rPr>
                <w:rFonts w:hint="eastAsia"/>
                <w:color w:val="auto"/>
                <w:u w:val="single"/>
                <w:vertAlign w:val="subscript"/>
                <w:lang w:val="en-US" w:eastAsia="zh-CN"/>
              </w:rPr>
              <w:t>x</w:t>
            </w:r>
            <w:r>
              <w:rPr>
                <w:rFonts w:hint="eastAsia"/>
                <w:color w:val="auto"/>
                <w:u w:val="single"/>
                <w:lang w:val="en-US" w:eastAsia="zh-CN"/>
              </w:rPr>
              <w:t>年排放量有一定的增加，经锅炉自带低氮燃烧器+烟气再循环技术+23m烟囱高空排放后可达标排放，其总量也可以满足排污权购买总量要求；噪声通过合理布局、安装减震垫减震、距离衰减、厂房隔声等措施后，对周边居民影响甚微；本项目废水排放量不大，水质简单，经自建污水处理站处理达标后排至罗家坡污水处理厂，最终排入南湖，其总量满足排污权购买总量要求；</w:t>
            </w:r>
          </w:p>
          <w:p>
            <w:pPr>
              <w:ind w:firstLine="482"/>
              <w:rPr>
                <w:rFonts w:hint="default" w:eastAsiaTheme="minorEastAsia"/>
                <w:color w:val="auto"/>
                <w:u w:val="single"/>
                <w:lang w:val="en-US" w:eastAsia="zh-CN"/>
              </w:rPr>
            </w:pPr>
            <w:r>
              <w:rPr>
                <w:rFonts w:hint="eastAsia"/>
                <w:color w:val="auto"/>
                <w:u w:val="single"/>
                <w:lang w:val="en-US" w:eastAsia="zh-CN"/>
              </w:rPr>
              <w:t>故本项目经采取各类环保措施后，对周边环境影响不大均在可接受范围。</w:t>
            </w:r>
          </w:p>
          <w:p>
            <w:pPr>
              <w:pStyle w:val="5"/>
              <w:bidi w:val="0"/>
              <w:rPr>
                <w:rFonts w:hint="eastAsia"/>
                <w:color w:val="auto"/>
                <w:u w:val="single"/>
                <w:lang w:val="en-US" w:eastAsia="zh-CN"/>
              </w:rPr>
            </w:pPr>
            <w:r>
              <w:rPr>
                <w:rFonts w:hint="eastAsia"/>
                <w:color w:val="auto"/>
                <w:u w:val="single"/>
                <w:lang w:val="en-US" w:eastAsia="zh-CN"/>
              </w:rPr>
              <w:t>4、锅炉设备设施技术先进性及需求广泛性分析</w:t>
            </w:r>
          </w:p>
          <w:p>
            <w:pPr>
              <w:ind w:firstLine="482"/>
              <w:rPr>
                <w:rFonts w:hint="eastAsia" w:ascii="Times New Roman" w:hAnsi="Times New Roman" w:cs="Times New Roman"/>
                <w:color w:val="auto"/>
                <w:u w:val="single"/>
                <w:lang w:val="en-US" w:eastAsia="zh-CN"/>
              </w:rPr>
            </w:pPr>
            <w:r>
              <w:rPr>
                <w:rFonts w:hint="eastAsia" w:ascii="Times New Roman" w:hAnsi="Times New Roman" w:cs="Times New Roman"/>
                <w:color w:val="auto"/>
                <w:u w:val="single"/>
                <w:lang w:eastAsia="zh-CN"/>
              </w:rPr>
              <w:t>本项目使用锅炉</w:t>
            </w:r>
            <w:r>
              <w:rPr>
                <w:rFonts w:hint="eastAsia" w:ascii="Times New Roman" w:hAnsi="Times New Roman" w:cs="Times New Roman"/>
                <w:color w:val="auto"/>
                <w:u w:val="single"/>
                <w:lang w:val="en-US" w:eastAsia="zh-CN"/>
              </w:rPr>
              <w:t>为中正燃气锅炉，额定出力为15t/h，型号为WNG15-25-Q，采用全自动智能控制，有维护方便的优点，系统热效率比常规系统高5%以上，可节约燃料成本，且项目锅炉采用烟气再循环技术，烟气流程分为二回程和三回程形式，燃料经燃烧器燃烧后形成的火炬充满在全波形炉胆内，并通过炉胆壁传递辐射热，此为第一回程。燃烧产生的高温烟气在回燃室内汇聚，转向进入第二回程，即螺纹烟管管束区，经对流换热后，烟气温度逐渐降低后至前烟箱，二回程锅炉烟气从前烟箱出锅炉本体进入设置在炉顶的节能器和冷凝器，三回程锅炉烟气从前烟箱转向进入第三回程，即光管管束区，随后经后烟箱进入节能器，最后流入烟囱，排入大气。通过此技术不但可以降低燃烧温度，而且也降低了氧气浓度，进而可降低当氮氧化物排放浓度。</w:t>
            </w:r>
          </w:p>
          <w:p>
            <w:pPr>
              <w:ind w:firstLine="482"/>
              <w:rPr>
                <w:rFonts w:hint="default" w:ascii="Times New Roman" w:hAnsi="Times New Roman" w:cs="Times New Roman" w:eastAsiaTheme="minorEastAsia"/>
                <w:color w:val="auto"/>
                <w:lang w:val="en-US" w:eastAsia="zh-CN"/>
              </w:rPr>
            </w:pPr>
            <w:r>
              <w:rPr>
                <w:rFonts w:hint="eastAsia" w:ascii="Times New Roman" w:hAnsi="Times New Roman" w:cs="Times New Roman"/>
                <w:color w:val="auto"/>
                <w:u w:val="single"/>
                <w:lang w:val="en-US" w:eastAsia="zh-CN"/>
              </w:rPr>
              <w:t>由上可知，本项目拟新增锅炉具有降低燃料成本、全自动控制以及降低污染物排放的优点，且锅炉厂家在工业锅炉行业中处于引导地位，锅炉销量高居不下，故本项目新增锅炉技术</w:t>
            </w:r>
            <w:r>
              <w:rPr>
                <w:rFonts w:hint="eastAsia"/>
                <w:color w:val="auto"/>
                <w:u w:val="single"/>
                <w:lang w:val="en-US" w:eastAsia="zh-CN"/>
              </w:rPr>
              <w:t>先进，需求广泛。</w:t>
            </w:r>
          </w:p>
          <w:p>
            <w:pPr>
              <w:rPr>
                <w:color w:val="auto"/>
              </w:rPr>
            </w:pPr>
          </w:p>
          <w:p>
            <w:pPr>
              <w:rPr>
                <w:color w:val="auto"/>
              </w:rPr>
            </w:pPr>
          </w:p>
        </w:tc>
      </w:tr>
    </w:tbl>
    <w:p>
      <w:pPr>
        <w:pStyle w:val="4"/>
        <w:rPr>
          <w:color w:val="auto"/>
        </w:rPr>
      </w:pPr>
      <w:bookmarkStart w:id="6" w:name="_Toc18740"/>
      <w:r>
        <w:rPr>
          <w:rFonts w:hint="eastAsia"/>
          <w:color w:val="auto"/>
        </w:rPr>
        <w:t>六、项目主要污染物产生及预计排放情况</w:t>
      </w:r>
      <w:bookmarkEnd w:id="6"/>
    </w:p>
    <w:tbl>
      <w:tblPr>
        <w:tblStyle w:val="18"/>
        <w:tblW w:w="544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773"/>
        <w:gridCol w:w="1452"/>
        <w:gridCol w:w="1419"/>
        <w:gridCol w:w="2595"/>
        <w:gridCol w:w="25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662" w:type="pct"/>
            <w:gridSpan w:val="2"/>
            <w:tcBorders>
              <w:tl2br w:val="nil"/>
              <w:tr2bl w:val="nil"/>
            </w:tcBorders>
            <w:vAlign w:val="center"/>
          </w:tcPr>
          <w:p>
            <w:pPr>
              <w:snapToGrid w:val="0"/>
              <w:spacing w:line="240" w:lineRule="auto"/>
              <w:jc w:val="center"/>
              <w:rPr>
                <w:b/>
                <w:bCs/>
                <w:color w:val="auto"/>
              </w:rPr>
            </w:pPr>
          </w:p>
          <w:p>
            <w:pPr>
              <w:snapToGrid w:val="0"/>
              <w:spacing w:line="240" w:lineRule="auto"/>
              <w:jc w:val="center"/>
              <w:rPr>
                <w:rFonts w:ascii="Times New Roman" w:hAnsi="Times New Roman" w:cs="Times New Roman"/>
                <w:b/>
                <w:bCs/>
                <w:color w:val="auto"/>
                <w:sz w:val="21"/>
                <w:szCs w:val="21"/>
              </w:rPr>
            </w:pPr>
            <w:r>
              <w:rPr>
                <w:rFonts w:hint="eastAsia"/>
                <w:b/>
                <w:bCs/>
                <w:color w:val="auto"/>
              </w:rPr>
              <w:t>类型</w:t>
            </w:r>
          </w:p>
          <w:p>
            <w:pPr>
              <w:spacing w:line="240" w:lineRule="auto"/>
              <w:jc w:val="center"/>
              <w:rPr>
                <w:rFonts w:ascii="Times New Roman" w:hAnsi="Times New Roman" w:cs="Times New Roman"/>
                <w:b/>
                <w:bCs/>
                <w:color w:val="auto"/>
                <w:sz w:val="21"/>
                <w:szCs w:val="21"/>
              </w:rPr>
            </w:pPr>
            <w:r>
              <w:rPr>
                <w:rFonts w:hint="eastAsia"/>
                <w:b/>
                <w:bCs/>
                <w:color w:val="auto"/>
              </w:rPr>
              <w:t>内容</w:t>
            </w:r>
          </w:p>
        </w:tc>
        <w:tc>
          <w:tcPr>
            <w:tcW w:w="782" w:type="pct"/>
            <w:tcBorders>
              <w:tl2br w:val="nil"/>
              <w:tr2bl w:val="nil"/>
            </w:tcBorders>
            <w:vAlign w:val="center"/>
          </w:tcPr>
          <w:p>
            <w:pPr>
              <w:spacing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排放源</w:t>
            </w:r>
          </w:p>
        </w:tc>
        <w:tc>
          <w:tcPr>
            <w:tcW w:w="764" w:type="pct"/>
            <w:tcBorders>
              <w:tl2br w:val="nil"/>
              <w:tr2bl w:val="nil"/>
            </w:tcBorders>
            <w:vAlign w:val="center"/>
          </w:tcPr>
          <w:p>
            <w:pPr>
              <w:spacing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污染物名称</w:t>
            </w:r>
          </w:p>
        </w:tc>
        <w:tc>
          <w:tcPr>
            <w:tcW w:w="1397" w:type="pct"/>
            <w:tcBorders>
              <w:tl2br w:val="nil"/>
              <w:tr2bl w:val="nil"/>
            </w:tcBorders>
            <w:vAlign w:val="center"/>
          </w:tcPr>
          <w:p>
            <w:pPr>
              <w:spacing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污染物产生情况</w:t>
            </w:r>
          </w:p>
        </w:tc>
        <w:tc>
          <w:tcPr>
            <w:tcW w:w="1392" w:type="pct"/>
            <w:tcBorders>
              <w:tl2br w:val="nil"/>
              <w:tr2bl w:val="nil"/>
            </w:tcBorders>
            <w:vAlign w:val="center"/>
          </w:tcPr>
          <w:p>
            <w:pPr>
              <w:spacing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污染物排放情况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vMerge w:val="restar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废气</w:t>
            </w:r>
          </w:p>
        </w:tc>
        <w:tc>
          <w:tcPr>
            <w:tcW w:w="417" w:type="pct"/>
            <w:vMerge w:val="restar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运营期</w:t>
            </w:r>
          </w:p>
        </w:tc>
        <w:tc>
          <w:tcPr>
            <w:tcW w:w="782" w:type="pct"/>
            <w:vMerge w:val="restar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天然气锅炉</w:t>
            </w:r>
          </w:p>
        </w:tc>
        <w:tc>
          <w:tcPr>
            <w:tcW w:w="764"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烟气量</w:t>
            </w:r>
          </w:p>
        </w:tc>
        <w:tc>
          <w:tcPr>
            <w:tcW w:w="1397" w:type="pct"/>
            <w:tcBorders>
              <w:tl2br w:val="nil"/>
              <w:tr2bl w:val="nil"/>
            </w:tcBorders>
            <w:vAlign w:val="center"/>
          </w:tcPr>
          <w:p>
            <w:pPr>
              <w:spacing w:line="360" w:lineRule="auto"/>
              <w:jc w:val="center"/>
              <w:rPr>
                <w:rFonts w:ascii="Times New Roman" w:hAnsi="Times New Roman" w:cs="Times New Roman"/>
                <w:color w:val="auto"/>
                <w:szCs w:val="24"/>
              </w:rPr>
            </w:pPr>
            <w:r>
              <w:rPr>
                <w:rFonts w:ascii="Times New Roman" w:hAnsi="Times New Roman" w:cs="Times New Roman"/>
                <w:color w:val="auto"/>
                <w:szCs w:val="24"/>
              </w:rPr>
              <w:t>2042.13×</w:t>
            </w:r>
            <w:r>
              <w:rPr>
                <w:rFonts w:hint="eastAsia" w:ascii="Times New Roman" w:hAnsi="Times New Roman" w:cs="Times New Roman"/>
                <w:color w:val="auto"/>
                <w:szCs w:val="24"/>
              </w:rPr>
              <w:t>10</w:t>
            </w:r>
            <w:r>
              <w:rPr>
                <w:rFonts w:hint="eastAsia" w:ascii="Times New Roman" w:hAnsi="Times New Roman" w:cs="Times New Roman"/>
                <w:color w:val="auto"/>
                <w:szCs w:val="24"/>
                <w:vertAlign w:val="superscript"/>
              </w:rPr>
              <w:t>4</w:t>
            </w:r>
            <w:r>
              <w:rPr>
                <w:rFonts w:hint="eastAsia" w:ascii="Times New Roman" w:hAnsi="Times New Roman" w:cs="Times New Roman"/>
                <w:color w:val="auto"/>
                <w:szCs w:val="24"/>
              </w:rPr>
              <w:t>m</w:t>
            </w:r>
            <w:r>
              <w:rPr>
                <w:rFonts w:hint="eastAsia" w:ascii="Times New Roman" w:hAnsi="Times New Roman" w:cs="Times New Roman"/>
                <w:color w:val="auto"/>
                <w:szCs w:val="24"/>
                <w:vertAlign w:val="superscript"/>
              </w:rPr>
              <w:t>3</w:t>
            </w:r>
            <w:r>
              <w:rPr>
                <w:rFonts w:hint="eastAsia" w:ascii="Times New Roman" w:hAnsi="Times New Roman" w:cs="Times New Roman"/>
                <w:color w:val="auto"/>
                <w:szCs w:val="24"/>
              </w:rPr>
              <w:t>/a</w:t>
            </w:r>
          </w:p>
        </w:tc>
        <w:tc>
          <w:tcPr>
            <w:tcW w:w="1392" w:type="pct"/>
            <w:tcBorders>
              <w:tl2br w:val="nil"/>
              <w:tr2bl w:val="nil"/>
            </w:tcBorders>
            <w:vAlign w:val="center"/>
          </w:tcPr>
          <w:p>
            <w:pPr>
              <w:spacing w:line="360" w:lineRule="auto"/>
              <w:jc w:val="center"/>
              <w:rPr>
                <w:rFonts w:ascii="Times New Roman" w:hAnsi="Times New Roman" w:cs="Times New Roman"/>
                <w:color w:val="auto"/>
                <w:szCs w:val="24"/>
              </w:rPr>
            </w:pPr>
            <w:r>
              <w:rPr>
                <w:rFonts w:ascii="Times New Roman" w:hAnsi="Times New Roman" w:cs="Times New Roman"/>
                <w:color w:val="auto"/>
                <w:szCs w:val="24"/>
              </w:rPr>
              <w:t>2042.13×</w:t>
            </w:r>
            <w:r>
              <w:rPr>
                <w:rFonts w:hint="eastAsia" w:ascii="Times New Roman" w:hAnsi="Times New Roman" w:cs="Times New Roman"/>
                <w:color w:val="auto"/>
                <w:szCs w:val="24"/>
              </w:rPr>
              <w:t>10</w:t>
            </w:r>
            <w:r>
              <w:rPr>
                <w:rFonts w:hint="eastAsia" w:ascii="Times New Roman" w:hAnsi="Times New Roman" w:cs="Times New Roman"/>
                <w:color w:val="auto"/>
                <w:szCs w:val="24"/>
                <w:vertAlign w:val="superscript"/>
              </w:rPr>
              <w:t>4</w:t>
            </w:r>
            <w:r>
              <w:rPr>
                <w:rFonts w:hint="eastAsia" w:ascii="Times New Roman" w:hAnsi="Times New Roman" w:cs="Times New Roman"/>
                <w:color w:val="auto"/>
                <w:szCs w:val="24"/>
              </w:rPr>
              <w:t>m</w:t>
            </w:r>
            <w:r>
              <w:rPr>
                <w:rFonts w:hint="eastAsia" w:ascii="Times New Roman" w:hAnsi="Times New Roman" w:cs="Times New Roman"/>
                <w:color w:val="auto"/>
                <w:szCs w:val="24"/>
                <w:vertAlign w:val="superscript"/>
              </w:rPr>
              <w:t>3</w:t>
            </w:r>
            <w:r>
              <w:rPr>
                <w:rFonts w:hint="eastAsia" w:ascii="Times New Roman" w:hAnsi="Times New Roman" w:cs="Times New Roman"/>
                <w:color w:val="auto"/>
                <w:szCs w:val="24"/>
              </w:rPr>
              <w: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5"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417"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782"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764"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SO</w:t>
            </w:r>
            <w:r>
              <w:rPr>
                <w:rFonts w:hint="eastAsia" w:ascii="Times New Roman" w:hAnsi="Times New Roman" w:cs="Times New Roman"/>
                <w:color w:val="auto"/>
                <w:szCs w:val="24"/>
                <w:vertAlign w:val="subscript"/>
              </w:rPr>
              <w:t>2</w:t>
            </w:r>
          </w:p>
        </w:tc>
        <w:tc>
          <w:tcPr>
            <w:tcW w:w="1397"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29.356mg/m</w:t>
            </w:r>
            <w:r>
              <w:rPr>
                <w:rFonts w:hint="eastAsia" w:ascii="Times New Roman" w:hAnsi="Times New Roman" w:cs="Times New Roman"/>
                <w:color w:val="auto"/>
                <w:szCs w:val="24"/>
                <w:vertAlign w:val="superscript"/>
              </w:rPr>
              <w:t>3</w:t>
            </w:r>
            <w:r>
              <w:rPr>
                <w:rFonts w:hint="eastAsia" w:ascii="Times New Roman" w:hAnsi="Times New Roman" w:cs="Times New Roman"/>
                <w:color w:val="auto"/>
                <w:szCs w:val="24"/>
              </w:rPr>
              <w:t>，</w:t>
            </w:r>
            <w:r>
              <w:rPr>
                <w:rFonts w:hint="eastAsia" w:ascii="Times New Roman" w:hAnsi="Times New Roman" w:cs="Times New Roman"/>
                <w:color w:val="auto"/>
                <w:szCs w:val="24"/>
                <w:lang w:val="en-US" w:eastAsia="zh-CN"/>
              </w:rPr>
              <w:t>0.599</w:t>
            </w:r>
            <w:r>
              <w:rPr>
                <w:rFonts w:hint="eastAsia" w:ascii="Times New Roman" w:hAnsi="Times New Roman" w:cs="Times New Roman"/>
                <w:color w:val="auto"/>
                <w:szCs w:val="24"/>
              </w:rPr>
              <w:t>t/a</w:t>
            </w:r>
          </w:p>
        </w:tc>
        <w:tc>
          <w:tcPr>
            <w:tcW w:w="1392"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lang w:val="en-US" w:eastAsia="zh-CN"/>
              </w:rPr>
              <w:t>29.356</w:t>
            </w:r>
            <w:r>
              <w:rPr>
                <w:rFonts w:hint="eastAsia" w:ascii="Times New Roman" w:hAnsi="Times New Roman" w:cs="Times New Roman"/>
                <w:color w:val="auto"/>
                <w:szCs w:val="24"/>
              </w:rPr>
              <w:t>mg/m</w:t>
            </w:r>
            <w:r>
              <w:rPr>
                <w:rFonts w:hint="eastAsia" w:ascii="Times New Roman" w:hAnsi="Times New Roman" w:cs="Times New Roman"/>
                <w:color w:val="auto"/>
                <w:szCs w:val="24"/>
                <w:vertAlign w:val="superscript"/>
              </w:rPr>
              <w:t>3</w:t>
            </w:r>
            <w:r>
              <w:rPr>
                <w:rFonts w:hint="eastAsia" w:ascii="Times New Roman" w:hAnsi="Times New Roman" w:cs="Times New Roman"/>
                <w:color w:val="auto"/>
                <w:szCs w:val="24"/>
              </w:rPr>
              <w:t>，0.</w:t>
            </w:r>
            <w:r>
              <w:rPr>
                <w:rFonts w:hint="eastAsia" w:ascii="Times New Roman" w:hAnsi="Times New Roman" w:cs="Times New Roman"/>
                <w:color w:val="auto"/>
                <w:szCs w:val="24"/>
                <w:lang w:val="en-US" w:eastAsia="zh-CN"/>
              </w:rPr>
              <w:t>599</w:t>
            </w:r>
            <w:r>
              <w:rPr>
                <w:rFonts w:hint="eastAsia" w:ascii="Times New Roman" w:hAnsi="Times New Roman" w:cs="Times New Roman"/>
                <w:color w:val="auto"/>
                <w:szCs w:val="24"/>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417"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782"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764"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NO</w:t>
            </w:r>
            <w:r>
              <w:rPr>
                <w:rFonts w:hint="eastAsia" w:ascii="Times New Roman" w:hAnsi="Times New Roman" w:cs="Times New Roman"/>
                <w:color w:val="auto"/>
                <w:szCs w:val="24"/>
                <w:vertAlign w:val="subscript"/>
              </w:rPr>
              <w:t>X</w:t>
            </w:r>
          </w:p>
        </w:tc>
        <w:tc>
          <w:tcPr>
            <w:tcW w:w="1397" w:type="pct"/>
            <w:tcBorders>
              <w:tl2br w:val="nil"/>
              <w:tr2bl w:val="nil"/>
            </w:tcBorders>
            <w:vAlign w:val="center"/>
          </w:tcPr>
          <w:p>
            <w:pPr>
              <w:spacing w:line="360" w:lineRule="auto"/>
              <w:jc w:val="center"/>
              <w:rPr>
                <w:rFonts w:ascii="Times New Roman" w:hAnsi="Times New Roman" w:cs="Times New Roman"/>
                <w:color w:val="auto"/>
                <w:szCs w:val="24"/>
                <w:highlight w:val="none"/>
              </w:rPr>
            </w:pPr>
            <w:r>
              <w:rPr>
                <w:rFonts w:hint="eastAsia" w:ascii="Times New Roman" w:hAnsi="Times New Roman" w:cs="Times New Roman"/>
                <w:color w:val="auto"/>
                <w:szCs w:val="24"/>
                <w:highlight w:val="none"/>
              </w:rPr>
              <w:t>137.309mg/m</w:t>
            </w:r>
            <w:r>
              <w:rPr>
                <w:rFonts w:hint="eastAsia" w:ascii="Times New Roman" w:hAnsi="Times New Roman" w:cs="Times New Roman"/>
                <w:color w:val="auto"/>
                <w:szCs w:val="24"/>
                <w:highlight w:val="none"/>
                <w:vertAlign w:val="superscript"/>
              </w:rPr>
              <w:t>3</w:t>
            </w:r>
            <w:r>
              <w:rPr>
                <w:rFonts w:hint="eastAsia" w:ascii="Times New Roman" w:hAnsi="Times New Roman" w:cs="Times New Roman"/>
                <w:color w:val="auto"/>
                <w:szCs w:val="24"/>
                <w:highlight w:val="none"/>
              </w:rPr>
              <w:t>，</w:t>
            </w:r>
            <w:r>
              <w:rPr>
                <w:rFonts w:hint="eastAsia" w:ascii="Times New Roman" w:hAnsi="Times New Roman" w:cs="Times New Roman"/>
                <w:color w:val="auto"/>
                <w:szCs w:val="24"/>
                <w:highlight w:val="none"/>
                <w:lang w:val="en-US" w:eastAsia="zh-CN"/>
              </w:rPr>
              <w:t>2.804t</w:t>
            </w:r>
            <w:r>
              <w:rPr>
                <w:rFonts w:hint="eastAsia" w:ascii="Times New Roman" w:hAnsi="Times New Roman" w:cs="Times New Roman"/>
                <w:color w:val="auto"/>
                <w:szCs w:val="24"/>
                <w:highlight w:val="none"/>
              </w:rPr>
              <w:t>/a</w:t>
            </w:r>
          </w:p>
        </w:tc>
        <w:tc>
          <w:tcPr>
            <w:tcW w:w="1392"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2</w:t>
            </w:r>
            <w:r>
              <w:rPr>
                <w:rFonts w:hint="eastAsia" w:ascii="Times New Roman" w:hAnsi="Times New Roman" w:cs="Times New Roman"/>
                <w:color w:val="auto"/>
                <w:szCs w:val="24"/>
                <w:lang w:val="en-US" w:eastAsia="zh-CN"/>
              </w:rPr>
              <w:t>8</w:t>
            </w:r>
            <w:r>
              <w:rPr>
                <w:rFonts w:hint="eastAsia" w:ascii="Times New Roman" w:hAnsi="Times New Roman" w:cs="Times New Roman"/>
                <w:color w:val="auto"/>
                <w:szCs w:val="24"/>
              </w:rPr>
              <w:t>mg/m</w:t>
            </w:r>
            <w:r>
              <w:rPr>
                <w:rFonts w:hint="eastAsia" w:ascii="Times New Roman" w:hAnsi="Times New Roman" w:cs="Times New Roman"/>
                <w:color w:val="auto"/>
                <w:szCs w:val="24"/>
                <w:vertAlign w:val="superscript"/>
              </w:rPr>
              <w:t>3</w:t>
            </w:r>
            <w:r>
              <w:rPr>
                <w:rFonts w:hint="eastAsia" w:ascii="Times New Roman" w:hAnsi="Times New Roman" w:cs="Times New Roman"/>
                <w:color w:val="auto"/>
                <w:szCs w:val="24"/>
              </w:rPr>
              <w:t>，0.5</w:t>
            </w:r>
            <w:r>
              <w:rPr>
                <w:rFonts w:hint="eastAsia" w:ascii="Times New Roman" w:hAnsi="Times New Roman" w:cs="Times New Roman"/>
                <w:color w:val="auto"/>
                <w:szCs w:val="24"/>
                <w:lang w:val="en-US" w:eastAsia="zh-CN"/>
              </w:rPr>
              <w:t>72</w:t>
            </w:r>
            <w:r>
              <w:rPr>
                <w:rFonts w:hint="eastAsia" w:ascii="Times New Roman" w:hAnsi="Times New Roman" w:cs="Times New Roman"/>
                <w:color w:val="auto"/>
                <w:szCs w:val="24"/>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417"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782"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764"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烟尘</w:t>
            </w:r>
          </w:p>
        </w:tc>
        <w:tc>
          <w:tcPr>
            <w:tcW w:w="1397"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17.609mg/m</w:t>
            </w:r>
            <w:r>
              <w:rPr>
                <w:rFonts w:hint="eastAsia" w:ascii="Times New Roman" w:hAnsi="Times New Roman" w:cs="Times New Roman"/>
                <w:color w:val="auto"/>
                <w:szCs w:val="24"/>
                <w:vertAlign w:val="superscript"/>
              </w:rPr>
              <w:t>3</w:t>
            </w:r>
            <w:r>
              <w:rPr>
                <w:rFonts w:hint="eastAsia" w:ascii="Times New Roman" w:hAnsi="Times New Roman" w:cs="Times New Roman"/>
                <w:color w:val="auto"/>
                <w:szCs w:val="24"/>
              </w:rPr>
              <w:t>，</w:t>
            </w:r>
            <w:r>
              <w:rPr>
                <w:rFonts w:hint="eastAsia" w:ascii="Times New Roman" w:hAnsi="Times New Roman" w:cs="Times New Roman"/>
                <w:color w:val="auto"/>
                <w:szCs w:val="24"/>
                <w:lang w:val="en-US" w:eastAsia="zh-CN"/>
              </w:rPr>
              <w:t>0.36</w:t>
            </w:r>
            <w:r>
              <w:rPr>
                <w:rFonts w:hint="eastAsia" w:ascii="Times New Roman" w:hAnsi="Times New Roman" w:cs="Times New Roman"/>
                <w:color w:val="auto"/>
                <w:szCs w:val="24"/>
              </w:rPr>
              <w:t>t/a</w:t>
            </w:r>
          </w:p>
        </w:tc>
        <w:tc>
          <w:tcPr>
            <w:tcW w:w="1392"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lang w:val="en-US" w:eastAsia="zh-CN"/>
              </w:rPr>
              <w:t>17.609</w:t>
            </w:r>
            <w:r>
              <w:rPr>
                <w:rFonts w:hint="eastAsia" w:ascii="Times New Roman" w:hAnsi="Times New Roman" w:cs="Times New Roman"/>
                <w:color w:val="auto"/>
                <w:szCs w:val="24"/>
              </w:rPr>
              <w:t>mg/m</w:t>
            </w:r>
            <w:r>
              <w:rPr>
                <w:rFonts w:hint="eastAsia" w:ascii="Times New Roman" w:hAnsi="Times New Roman" w:cs="Times New Roman"/>
                <w:color w:val="auto"/>
                <w:szCs w:val="24"/>
                <w:vertAlign w:val="superscript"/>
              </w:rPr>
              <w:t>3</w:t>
            </w:r>
            <w:r>
              <w:rPr>
                <w:rFonts w:hint="eastAsia" w:ascii="Times New Roman" w:hAnsi="Times New Roman" w:cs="Times New Roman"/>
                <w:color w:val="auto"/>
                <w:szCs w:val="24"/>
              </w:rPr>
              <w:t>，0.</w:t>
            </w:r>
            <w:r>
              <w:rPr>
                <w:rFonts w:hint="eastAsia" w:ascii="Times New Roman" w:hAnsi="Times New Roman" w:cs="Times New Roman"/>
                <w:color w:val="auto"/>
                <w:szCs w:val="24"/>
                <w:lang w:val="en-US" w:eastAsia="zh-CN"/>
              </w:rPr>
              <w:t>36</w:t>
            </w:r>
            <w:r>
              <w:rPr>
                <w:rFonts w:hint="eastAsia" w:ascii="Times New Roman" w:hAnsi="Times New Roman" w:cs="Times New Roman"/>
                <w:color w:val="auto"/>
                <w:szCs w:val="24"/>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245" w:type="pct"/>
            <w:vMerge w:val="restar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废水</w:t>
            </w:r>
          </w:p>
        </w:tc>
        <w:tc>
          <w:tcPr>
            <w:tcW w:w="417" w:type="pct"/>
            <w:vMerge w:val="restar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运营期</w:t>
            </w:r>
          </w:p>
        </w:tc>
        <w:tc>
          <w:tcPr>
            <w:tcW w:w="782"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锅炉排污水</w:t>
            </w:r>
          </w:p>
        </w:tc>
        <w:tc>
          <w:tcPr>
            <w:tcW w:w="764" w:type="pct"/>
            <w:vMerge w:val="restar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废水产生量</w:t>
            </w:r>
          </w:p>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COD</w:t>
            </w:r>
          </w:p>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SS</w:t>
            </w:r>
          </w:p>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氨氮</w:t>
            </w:r>
          </w:p>
        </w:tc>
        <w:tc>
          <w:tcPr>
            <w:tcW w:w="1397" w:type="pct"/>
            <w:vMerge w:val="restar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lang w:val="en-US" w:eastAsia="zh-CN"/>
              </w:rPr>
              <w:t>2032.24</w:t>
            </w:r>
            <w:r>
              <w:rPr>
                <w:rFonts w:hint="eastAsia" w:ascii="Times New Roman" w:hAnsi="Times New Roman" w:cs="Times New Roman"/>
                <w:color w:val="auto"/>
                <w:szCs w:val="24"/>
              </w:rPr>
              <w:t>m</w:t>
            </w:r>
            <w:r>
              <w:rPr>
                <w:rFonts w:hint="eastAsia" w:ascii="Times New Roman" w:hAnsi="Times New Roman" w:cs="Times New Roman"/>
                <w:color w:val="auto"/>
                <w:szCs w:val="24"/>
                <w:vertAlign w:val="superscript"/>
              </w:rPr>
              <w:t>3</w:t>
            </w:r>
            <w:r>
              <w:rPr>
                <w:rFonts w:hint="eastAsia" w:ascii="Times New Roman" w:hAnsi="Times New Roman" w:cs="Times New Roman"/>
                <w:color w:val="auto"/>
                <w:szCs w:val="24"/>
              </w:rPr>
              <w:t>/a</w:t>
            </w:r>
          </w:p>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w:t>
            </w:r>
          </w:p>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w:t>
            </w:r>
          </w:p>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w:t>
            </w:r>
          </w:p>
        </w:tc>
        <w:tc>
          <w:tcPr>
            <w:tcW w:w="1392" w:type="pct"/>
            <w:vMerge w:val="restar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lang w:val="en-US" w:eastAsia="zh-CN"/>
              </w:rPr>
              <w:t>2032.24</w:t>
            </w:r>
            <w:r>
              <w:rPr>
                <w:rFonts w:hint="eastAsia" w:ascii="Times New Roman" w:hAnsi="Times New Roman" w:cs="Times New Roman"/>
                <w:color w:val="auto"/>
                <w:szCs w:val="24"/>
              </w:rPr>
              <w:t>m</w:t>
            </w:r>
            <w:r>
              <w:rPr>
                <w:rFonts w:hint="eastAsia" w:ascii="Times New Roman" w:hAnsi="Times New Roman" w:cs="Times New Roman"/>
                <w:color w:val="auto"/>
                <w:szCs w:val="24"/>
                <w:vertAlign w:val="superscript"/>
              </w:rPr>
              <w:t>3</w:t>
            </w:r>
            <w:r>
              <w:rPr>
                <w:rFonts w:hint="eastAsia" w:ascii="Times New Roman" w:hAnsi="Times New Roman" w:cs="Times New Roman"/>
                <w:color w:val="auto"/>
                <w:szCs w:val="24"/>
              </w:rPr>
              <w:t>/a</w:t>
            </w:r>
          </w:p>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50mg/L，0.</w:t>
            </w:r>
            <w:r>
              <w:rPr>
                <w:rFonts w:hint="eastAsia" w:ascii="Times New Roman" w:hAnsi="Times New Roman" w:cs="Times New Roman"/>
                <w:color w:val="auto"/>
                <w:szCs w:val="24"/>
                <w:lang w:val="en-US" w:eastAsia="zh-CN"/>
              </w:rPr>
              <w:t>1016</w:t>
            </w:r>
            <w:r>
              <w:rPr>
                <w:rFonts w:hint="eastAsia" w:ascii="Times New Roman" w:hAnsi="Times New Roman" w:cs="Times New Roman"/>
                <w:color w:val="auto"/>
                <w:szCs w:val="24"/>
              </w:rPr>
              <w:t>t/a</w:t>
            </w:r>
          </w:p>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10mg/L，0.0</w:t>
            </w:r>
            <w:r>
              <w:rPr>
                <w:rFonts w:hint="eastAsia" w:ascii="Times New Roman" w:hAnsi="Times New Roman" w:cs="Times New Roman"/>
                <w:color w:val="auto"/>
                <w:szCs w:val="24"/>
                <w:lang w:val="en-US" w:eastAsia="zh-CN"/>
              </w:rPr>
              <w:t>203</w:t>
            </w:r>
            <w:r>
              <w:rPr>
                <w:rFonts w:hint="eastAsia" w:ascii="Times New Roman" w:hAnsi="Times New Roman" w:cs="Times New Roman"/>
                <w:color w:val="auto"/>
                <w:szCs w:val="24"/>
              </w:rPr>
              <w:t>t/a</w:t>
            </w:r>
          </w:p>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5mg/L，0.0</w:t>
            </w:r>
            <w:r>
              <w:rPr>
                <w:rFonts w:hint="eastAsia" w:ascii="Times New Roman" w:hAnsi="Times New Roman" w:cs="Times New Roman"/>
                <w:color w:val="auto"/>
                <w:szCs w:val="24"/>
                <w:lang w:val="en-US" w:eastAsia="zh-CN"/>
              </w:rPr>
              <w:t>102</w:t>
            </w:r>
            <w:r>
              <w:rPr>
                <w:rFonts w:hint="eastAsia" w:ascii="Times New Roman" w:hAnsi="Times New Roman" w:cs="Times New Roman"/>
                <w:color w:val="auto"/>
                <w:szCs w:val="24"/>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417"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782"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软水制备废水</w:t>
            </w:r>
          </w:p>
        </w:tc>
        <w:tc>
          <w:tcPr>
            <w:tcW w:w="764"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1397"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c>
          <w:tcPr>
            <w:tcW w:w="1392" w:type="pct"/>
            <w:vMerge w:val="continue"/>
            <w:tcBorders>
              <w:tl2br w:val="nil"/>
              <w:tr2bl w:val="nil"/>
            </w:tcBorders>
            <w:vAlign w:val="center"/>
          </w:tcPr>
          <w:p>
            <w:pPr>
              <w:spacing w:line="360" w:lineRule="auto"/>
              <w:jc w:val="center"/>
              <w:rPr>
                <w:rFonts w:ascii="Times New Roman" w:hAnsi="Times New Roman" w:cs="Times New Roman"/>
                <w:color w:val="auto"/>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45"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固废</w:t>
            </w:r>
          </w:p>
        </w:tc>
        <w:tc>
          <w:tcPr>
            <w:tcW w:w="417"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运营期</w:t>
            </w:r>
          </w:p>
        </w:tc>
        <w:tc>
          <w:tcPr>
            <w:tcW w:w="782"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w:t>
            </w:r>
          </w:p>
        </w:tc>
        <w:tc>
          <w:tcPr>
            <w:tcW w:w="764"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w:t>
            </w:r>
          </w:p>
        </w:tc>
        <w:tc>
          <w:tcPr>
            <w:tcW w:w="1397"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w:t>
            </w:r>
          </w:p>
        </w:tc>
        <w:tc>
          <w:tcPr>
            <w:tcW w:w="1392"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噪声</w:t>
            </w:r>
          </w:p>
        </w:tc>
        <w:tc>
          <w:tcPr>
            <w:tcW w:w="417"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运营期</w:t>
            </w:r>
          </w:p>
        </w:tc>
        <w:tc>
          <w:tcPr>
            <w:tcW w:w="782"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设备运转</w:t>
            </w:r>
          </w:p>
        </w:tc>
        <w:tc>
          <w:tcPr>
            <w:tcW w:w="764"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噪声</w:t>
            </w:r>
          </w:p>
        </w:tc>
        <w:tc>
          <w:tcPr>
            <w:tcW w:w="1397" w:type="pct"/>
            <w:tcBorders>
              <w:tl2br w:val="nil"/>
              <w:tr2bl w:val="nil"/>
            </w:tcBorders>
            <w:vAlign w:val="center"/>
          </w:tcPr>
          <w:p>
            <w:pPr>
              <w:spacing w:line="360" w:lineRule="auto"/>
              <w:jc w:val="center"/>
              <w:rPr>
                <w:rFonts w:ascii="Times New Roman" w:hAnsi="Times New Roman" w:cs="Times New Roman"/>
                <w:color w:val="auto"/>
                <w:szCs w:val="24"/>
              </w:rPr>
            </w:pPr>
            <w:r>
              <w:rPr>
                <w:rFonts w:hint="eastAsia" w:ascii="Times New Roman" w:hAnsi="Times New Roman" w:cs="Times New Roman"/>
                <w:color w:val="auto"/>
                <w:szCs w:val="24"/>
              </w:rPr>
              <w:t>70-80dB（A）</w:t>
            </w:r>
          </w:p>
        </w:tc>
        <w:tc>
          <w:tcPr>
            <w:tcW w:w="1392" w:type="pct"/>
            <w:tcBorders>
              <w:tl2br w:val="nil"/>
              <w:tr2bl w:val="nil"/>
            </w:tcBorders>
            <w:vAlign w:val="center"/>
          </w:tcPr>
          <w:p>
            <w:pPr>
              <w:spacing w:line="360" w:lineRule="auto"/>
              <w:jc w:val="center"/>
              <w:rPr>
                <w:rFonts w:ascii="Times New Roman" w:hAnsi="Times New Roman" w:cs="Times New Roman"/>
                <w:color w:val="auto"/>
                <w:szCs w:val="24"/>
              </w:rPr>
            </w:pPr>
            <w:r>
              <w:rPr>
                <w:rFonts w:ascii="Times New Roman" w:hAnsi="Times New Roman" w:cs="Times New Roman"/>
                <w:color w:val="auto"/>
                <w:szCs w:val="24"/>
              </w:rPr>
              <w:t>昼间小于</w:t>
            </w:r>
            <w:r>
              <w:rPr>
                <w:rFonts w:hint="eastAsia" w:ascii="Times New Roman" w:hAnsi="Times New Roman" w:cs="Times New Roman"/>
                <w:color w:val="auto"/>
                <w:szCs w:val="24"/>
              </w:rPr>
              <w:t>60</w:t>
            </w:r>
            <w:r>
              <w:rPr>
                <w:rFonts w:ascii="Times New Roman" w:hAnsi="Times New Roman" w:cs="Times New Roman"/>
                <w:color w:val="auto"/>
                <w:szCs w:val="24"/>
              </w:rPr>
              <w:t>dB（A）</w:t>
            </w:r>
          </w:p>
          <w:p>
            <w:pPr>
              <w:spacing w:line="360" w:lineRule="auto"/>
              <w:jc w:val="center"/>
              <w:rPr>
                <w:rFonts w:ascii="Times New Roman" w:hAnsi="Times New Roman" w:cs="Times New Roman"/>
                <w:color w:val="auto"/>
                <w:szCs w:val="24"/>
              </w:rPr>
            </w:pPr>
            <w:r>
              <w:rPr>
                <w:rFonts w:ascii="Times New Roman" w:hAnsi="Times New Roman" w:cs="Times New Roman"/>
                <w:color w:val="auto"/>
                <w:szCs w:val="24"/>
              </w:rPr>
              <w:t>夜间小于5</w:t>
            </w:r>
            <w:r>
              <w:rPr>
                <w:rFonts w:hint="eastAsia" w:ascii="Times New Roman" w:hAnsi="Times New Roman" w:cs="Times New Roman"/>
                <w:color w:val="auto"/>
                <w:szCs w:val="24"/>
              </w:rPr>
              <w:t>0</w:t>
            </w:r>
            <w:r>
              <w:rPr>
                <w:rFonts w:ascii="Times New Roman" w:hAnsi="Times New Roman" w:cs="Times New Roman"/>
                <w:color w:val="auto"/>
                <w:szCs w:val="24"/>
              </w:rPr>
              <w:t>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6"/>
            <w:tcBorders>
              <w:tl2br w:val="nil"/>
              <w:tr2bl w:val="nil"/>
            </w:tcBorders>
            <w:vAlign w:val="center"/>
          </w:tcPr>
          <w:p>
            <w:pPr>
              <w:spacing w:line="360" w:lineRule="auto"/>
              <w:rPr>
                <w:rFonts w:ascii="Times New Roman" w:hAnsi="Times New Roman" w:cs="Times New Roman"/>
                <w:b/>
                <w:bCs/>
                <w:color w:val="auto"/>
                <w:szCs w:val="24"/>
              </w:rPr>
            </w:pPr>
            <w:r>
              <w:rPr>
                <w:rFonts w:ascii="Times New Roman" w:hAnsi="Times New Roman" w:cs="Times New Roman"/>
                <w:b/>
                <w:bCs/>
                <w:color w:val="auto"/>
                <w:szCs w:val="24"/>
              </w:rPr>
              <w:t>生态影响：</w:t>
            </w:r>
          </w:p>
          <w:p>
            <w:pPr>
              <w:spacing w:line="360" w:lineRule="auto"/>
              <w:ind w:firstLine="480" w:firstLineChars="200"/>
              <w:rPr>
                <w:color w:val="auto"/>
                <w:szCs w:val="24"/>
              </w:rPr>
            </w:pPr>
            <w:r>
              <w:rPr>
                <w:rFonts w:hint="eastAsia"/>
                <w:color w:val="auto"/>
                <w:szCs w:val="24"/>
              </w:rPr>
              <w:t>该项目为扩建项目，在现有厂区锅炉房内新增一台</w:t>
            </w:r>
            <w:r>
              <w:rPr>
                <w:rFonts w:ascii="Times New Roman" w:hAnsi="Times New Roman" w:cs="Times New Roman"/>
                <w:color w:val="auto"/>
                <w:szCs w:val="24"/>
              </w:rPr>
              <w:t>15t/h的天然气锅炉和一根2</w:t>
            </w:r>
            <w:r>
              <w:rPr>
                <w:rFonts w:hint="eastAsia" w:ascii="Times New Roman" w:hAnsi="Times New Roman" w:cs="Times New Roman"/>
                <w:color w:val="auto"/>
                <w:szCs w:val="24"/>
                <w:lang w:val="en-US" w:eastAsia="zh-CN"/>
              </w:rPr>
              <w:t>3</w:t>
            </w:r>
            <w:r>
              <w:rPr>
                <w:rFonts w:ascii="Times New Roman" w:hAnsi="Times New Roman" w:cs="Times New Roman"/>
                <w:color w:val="auto"/>
                <w:szCs w:val="24"/>
              </w:rPr>
              <w:t>m烟囱，工程量较小，对周围生态环境影响很小。该项目运营过程中</w:t>
            </w:r>
            <w:r>
              <w:rPr>
                <w:rFonts w:hint="eastAsia"/>
                <w:color w:val="auto"/>
                <w:szCs w:val="24"/>
              </w:rPr>
              <w:t>主要污染物均采取合理、有效的处理措施，确保污染物达标排放，因此该项目对周围生态环境影响较小。</w:t>
            </w:r>
          </w:p>
          <w:p>
            <w:pPr>
              <w:spacing w:line="360" w:lineRule="auto"/>
              <w:rPr>
                <w:color w:val="auto"/>
                <w:szCs w:val="24"/>
              </w:rPr>
            </w:pPr>
          </w:p>
          <w:p>
            <w:pPr>
              <w:spacing w:line="360" w:lineRule="auto"/>
              <w:rPr>
                <w:color w:val="auto"/>
                <w:szCs w:val="24"/>
              </w:rPr>
            </w:pPr>
          </w:p>
          <w:p>
            <w:pPr>
              <w:spacing w:line="360" w:lineRule="auto"/>
              <w:rPr>
                <w:color w:val="auto"/>
                <w:szCs w:val="24"/>
              </w:rPr>
            </w:pPr>
          </w:p>
          <w:p>
            <w:pPr>
              <w:spacing w:line="360" w:lineRule="auto"/>
              <w:rPr>
                <w:color w:val="auto"/>
                <w:szCs w:val="24"/>
              </w:rPr>
            </w:pPr>
          </w:p>
          <w:p>
            <w:pPr>
              <w:pStyle w:val="2"/>
              <w:spacing w:line="360" w:lineRule="auto"/>
              <w:rPr>
                <w:color w:val="auto"/>
                <w:szCs w:val="24"/>
              </w:rPr>
            </w:pPr>
          </w:p>
          <w:p>
            <w:pPr>
              <w:pStyle w:val="15"/>
              <w:spacing w:line="360" w:lineRule="auto"/>
              <w:ind w:firstLine="0" w:firstLineChars="0"/>
              <w:rPr>
                <w:rFonts w:ascii="Times New Roman" w:hAnsi="Times New Roman" w:cs="Times New Roman"/>
                <w:color w:val="auto"/>
                <w:szCs w:val="24"/>
              </w:rPr>
            </w:pPr>
          </w:p>
        </w:tc>
      </w:tr>
    </w:tbl>
    <w:p>
      <w:pPr>
        <w:pStyle w:val="4"/>
        <w:numPr>
          <w:ilvl w:val="0"/>
          <w:numId w:val="10"/>
        </w:numPr>
        <w:rPr>
          <w:color w:val="auto"/>
        </w:rPr>
      </w:pPr>
      <w:bookmarkStart w:id="7" w:name="_Toc8784"/>
      <w:r>
        <w:rPr>
          <w:rFonts w:hint="eastAsia"/>
          <w:color w:val="auto"/>
        </w:rPr>
        <w:t>环境影响分析</w:t>
      </w:r>
      <w:bookmarkEnd w:id="7"/>
    </w:p>
    <w:tbl>
      <w:tblPr>
        <w:tblStyle w:val="18"/>
        <w:tblW w:w="9286"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8522" w:type="dxa"/>
            <w:tcBorders>
              <w:tl2br w:val="nil"/>
              <w:tr2bl w:val="nil"/>
            </w:tcBorders>
          </w:tcPr>
          <w:p>
            <w:pPr>
              <w:pStyle w:val="5"/>
              <w:ind w:firstLine="562"/>
              <w:outlineLvl w:val="1"/>
              <w:rPr>
                <w:rFonts w:ascii="宋体" w:hAnsi="宋体"/>
                <w:bCs/>
                <w:color w:val="auto"/>
              </w:rPr>
            </w:pPr>
            <w:r>
              <w:rPr>
                <w:color w:val="auto"/>
              </w:rPr>
              <w:br w:type="page"/>
            </w:r>
            <w:r>
              <w:rPr>
                <w:rFonts w:hint="eastAsia"/>
                <w:color w:val="auto"/>
              </w:rPr>
              <w:t>1</w:t>
            </w:r>
            <w:r>
              <w:rPr>
                <w:rFonts w:hint="eastAsia" w:ascii="宋体" w:hAnsi="宋体"/>
                <w:bCs/>
                <w:color w:val="auto"/>
              </w:rPr>
              <w:t>、施工期环境影响简要分析</w:t>
            </w:r>
          </w:p>
          <w:p>
            <w:pPr>
              <w:ind w:firstLine="480" w:firstLineChars="200"/>
              <w:rPr>
                <w:color w:val="auto"/>
              </w:rPr>
            </w:pPr>
            <w:r>
              <w:rPr>
                <w:rFonts w:hint="eastAsia"/>
                <w:color w:val="auto"/>
              </w:rPr>
              <w:t>拟建项目施工期主要为锅炉安装及烟囱的建设以及厂区雨污分流系统的完善，施工期较短，对周围环境影响较小。</w:t>
            </w:r>
          </w:p>
          <w:p>
            <w:pPr>
              <w:pStyle w:val="6"/>
              <w:ind w:firstLine="482"/>
              <w:outlineLvl w:val="2"/>
              <w:rPr>
                <w:color w:val="auto"/>
              </w:rPr>
            </w:pPr>
            <w:r>
              <w:rPr>
                <w:rFonts w:cs="Times New Roman"/>
                <w:color w:val="auto"/>
              </w:rPr>
              <w:t>1.1</w:t>
            </w:r>
            <w:r>
              <w:rPr>
                <w:rFonts w:hint="eastAsia"/>
                <w:color w:val="auto"/>
              </w:rPr>
              <w:t>水环境影响分析</w:t>
            </w:r>
          </w:p>
          <w:p>
            <w:pPr>
              <w:ind w:firstLine="480" w:firstLineChars="200"/>
              <w:rPr>
                <w:color w:val="auto"/>
              </w:rPr>
            </w:pPr>
            <w:r>
              <w:rPr>
                <w:rFonts w:hint="eastAsia"/>
                <w:color w:val="auto"/>
              </w:rPr>
              <w:t>施工期产生废水主要为施工人员生活污水以及施工过程中产生的少量废水。本项目所在厂区已有卫生间，施工人员的少量生活污水排入化粪池；施工废水水量较小，对地下水及地表水体影响较小。</w:t>
            </w:r>
          </w:p>
          <w:p>
            <w:pPr>
              <w:pStyle w:val="6"/>
              <w:ind w:firstLine="482"/>
              <w:outlineLvl w:val="2"/>
              <w:rPr>
                <w:color w:val="auto"/>
              </w:rPr>
            </w:pPr>
            <w:r>
              <w:rPr>
                <w:rFonts w:hint="eastAsia"/>
                <w:color w:val="auto"/>
              </w:rPr>
              <w:t>1.2大气环境影响分析</w:t>
            </w:r>
          </w:p>
          <w:p>
            <w:pPr>
              <w:ind w:firstLine="480" w:firstLineChars="200"/>
              <w:rPr>
                <w:color w:val="auto"/>
              </w:rPr>
            </w:pPr>
            <w:r>
              <w:rPr>
                <w:rFonts w:hint="eastAsia"/>
                <w:color w:val="auto"/>
              </w:rPr>
              <w:t>主要废气污染源是运输车辆排放的尾气等，由于污染源分散，且产生量较小，施工期短，随施工期结束，因此对周围环境影响较小。</w:t>
            </w:r>
          </w:p>
          <w:p>
            <w:pPr>
              <w:pStyle w:val="6"/>
              <w:ind w:firstLine="482"/>
              <w:outlineLvl w:val="2"/>
              <w:rPr>
                <w:color w:val="auto"/>
              </w:rPr>
            </w:pPr>
            <w:r>
              <w:rPr>
                <w:rFonts w:hint="eastAsia"/>
                <w:color w:val="auto"/>
              </w:rPr>
              <w:t>1.3噪声影响分析</w:t>
            </w:r>
          </w:p>
          <w:p>
            <w:pPr>
              <w:ind w:firstLine="480" w:firstLineChars="200"/>
              <w:rPr>
                <w:color w:val="auto"/>
              </w:rPr>
            </w:pPr>
            <w:r>
              <w:rPr>
                <w:rFonts w:hint="eastAsia"/>
                <w:color w:val="auto"/>
              </w:rPr>
              <w:t>施工期噪声主要源自施工机械噪声和运输车辆、管道开挖产生的交通噪声。施工期噪声具有临时性、阶段性，影响范围较小，并伴随施工结束而终止对周围环境的影响。</w:t>
            </w:r>
          </w:p>
          <w:p>
            <w:pPr>
              <w:pStyle w:val="6"/>
              <w:ind w:firstLine="482"/>
              <w:outlineLvl w:val="2"/>
              <w:rPr>
                <w:color w:val="auto"/>
              </w:rPr>
            </w:pPr>
            <w:r>
              <w:rPr>
                <w:rFonts w:hint="eastAsia"/>
                <w:color w:val="auto"/>
              </w:rPr>
              <w:t>1.4固体废弃物影响分析</w:t>
            </w:r>
          </w:p>
          <w:p>
            <w:pPr>
              <w:ind w:firstLine="480" w:firstLineChars="200"/>
              <w:rPr>
                <w:color w:val="auto"/>
              </w:rPr>
            </w:pPr>
            <w:r>
              <w:rPr>
                <w:rFonts w:hint="eastAsia"/>
                <w:color w:val="auto"/>
              </w:rPr>
              <w:t>施工期间主要固体废弃物为建筑垃圾，由环卫部门统一清理外运；施工人员产生的少量生活垃圾也收集至指定垃圾箱，由环卫部门统一清理。据此，施工期间固体废弃物对周围环境影响较小。</w:t>
            </w:r>
          </w:p>
          <w:p>
            <w:pPr>
              <w:pStyle w:val="5"/>
              <w:ind w:firstLine="562"/>
              <w:outlineLvl w:val="1"/>
              <w:rPr>
                <w:color w:val="auto"/>
              </w:rPr>
            </w:pPr>
            <w:r>
              <w:rPr>
                <w:rFonts w:hint="eastAsia"/>
                <w:color w:val="auto"/>
              </w:rPr>
              <w:t>2、营运期环境影响分析</w:t>
            </w:r>
          </w:p>
          <w:p>
            <w:pPr>
              <w:pStyle w:val="6"/>
              <w:ind w:firstLine="482"/>
              <w:outlineLvl w:val="2"/>
              <w:rPr>
                <w:color w:val="auto"/>
              </w:rPr>
            </w:pPr>
            <w:r>
              <w:rPr>
                <w:rFonts w:hint="eastAsia"/>
                <w:color w:val="auto"/>
              </w:rPr>
              <w:t>2.1</w:t>
            </w:r>
            <w:r>
              <w:rPr>
                <w:color w:val="auto"/>
              </w:rPr>
              <w:t>水环境影响分析</w:t>
            </w:r>
          </w:p>
          <w:p>
            <w:pPr>
              <w:ind w:firstLine="480" w:firstLineChars="200"/>
              <w:rPr>
                <w:rFonts w:ascii="Times New Roman"/>
                <w:color w:val="auto"/>
              </w:rPr>
            </w:pPr>
            <w:r>
              <w:rPr>
                <w:rFonts w:hint="eastAsia"/>
                <w:color w:val="auto"/>
              </w:rPr>
              <w:t>根据工程分析章节可知，项目改造完成后，不新增劳动定员，不新增生活污水。项目营运期废水主是锅炉排污水和</w:t>
            </w:r>
            <w:r>
              <w:rPr>
                <w:rFonts w:hint="eastAsia" w:ascii="Times New Roman" w:hAnsi="Times New Roman" w:cs="Times New Roman"/>
                <w:color w:val="auto"/>
              </w:rPr>
              <w:t>软水制备废水</w:t>
            </w:r>
            <w:r>
              <w:rPr>
                <w:rFonts w:hint="eastAsia" w:ascii="Times New Roman" w:hAnsi="Times New Roman" w:cs="Times New Roman"/>
                <w:color w:val="auto"/>
                <w:lang w:eastAsia="zh-CN"/>
              </w:rPr>
              <w:t>共计</w:t>
            </w:r>
            <w:r>
              <w:rPr>
                <w:rFonts w:hint="eastAsia" w:ascii="Times New Roman" w:hAnsi="Times New Roman" w:cs="Times New Roman"/>
                <w:color w:val="auto"/>
                <w:lang w:val="en-US" w:eastAsia="zh-CN"/>
              </w:rPr>
              <w:t>2032.24t/a（6.77m</w:t>
            </w:r>
            <w:r>
              <w:rPr>
                <w:rFonts w:hint="eastAsia" w:ascii="Times New Roman" w:hAnsi="Times New Roman" w:cs="Times New Roman"/>
                <w:color w:val="auto"/>
                <w:vertAlign w:val="superscript"/>
                <w:lang w:val="en-US" w:eastAsia="zh-CN"/>
              </w:rPr>
              <w:t>3</w:t>
            </w:r>
            <w:r>
              <w:rPr>
                <w:rFonts w:hint="eastAsia" w:ascii="Times New Roman" w:hAnsi="Times New Roman" w:cs="Times New Roman"/>
                <w:color w:val="auto"/>
                <w:lang w:val="en-US" w:eastAsia="zh-CN"/>
              </w:rPr>
              <w:t>/d）</w:t>
            </w:r>
            <w:r>
              <w:rPr>
                <w:rFonts w:hint="eastAsia" w:ascii="Times New Roman" w:hAnsi="Times New Roman" w:cs="Times New Roman"/>
                <w:color w:val="auto"/>
              </w:rPr>
              <w:t>，废水经由排污管道排出后进入污水处理站，经过污水处理站处理后由市政管网排入罗家坡污水处理厂</w:t>
            </w:r>
            <w:r>
              <w:rPr>
                <w:rFonts w:hint="eastAsia" w:ascii="Times New Roman"/>
                <w:color w:val="auto"/>
              </w:rPr>
              <w:t>处理达《城市污水处理厂污染物排放标准》（GB18918-2002）中的一级A标准后经由北港河排入南湖。</w:t>
            </w:r>
          </w:p>
          <w:p>
            <w:pPr>
              <w:ind w:firstLine="480" w:firstLineChars="200"/>
              <w:rPr>
                <w:rFonts w:ascii="Times New Roman"/>
                <w:color w:val="auto"/>
              </w:rPr>
            </w:pPr>
            <w:r>
              <w:rPr>
                <w:rFonts w:hint="eastAsia" w:ascii="Times New Roman"/>
                <w:color w:val="auto"/>
              </w:rPr>
              <w:t>项目所处位置为</w:t>
            </w:r>
            <w:r>
              <w:rPr>
                <w:rFonts w:ascii="Times New Roman" w:hAnsi="Times New Roman" w:cs="Times New Roman"/>
                <w:color w:val="auto"/>
              </w:rPr>
              <w:t>岳阳市王家畈路以南、八字门路以东地块内</w:t>
            </w:r>
            <w:r>
              <w:rPr>
                <w:rFonts w:hint="eastAsia" w:ascii="Times New Roman"/>
                <w:color w:val="auto"/>
              </w:rPr>
              <w:t>，根据附图</w:t>
            </w:r>
            <w:r>
              <w:rPr>
                <w:rFonts w:hint="eastAsia" w:ascii="Times New Roman"/>
                <w:color w:val="auto"/>
                <w:lang w:val="en-US" w:eastAsia="zh-CN"/>
              </w:rPr>
              <w:t>6</w:t>
            </w:r>
            <w:r>
              <w:rPr>
                <w:rFonts w:hint="eastAsia" w:ascii="Times New Roman"/>
                <w:color w:val="auto"/>
              </w:rPr>
              <w:t>“经开区污水管网分布图”可知，项目片区属于污水厂的纳污范围内，项目地已经敷设有市政污水管网，能够确保本项目污水排入</w:t>
            </w:r>
            <w:r>
              <w:rPr>
                <w:rFonts w:ascii="Times New Roman"/>
                <w:color w:val="auto"/>
              </w:rPr>
              <w:t>罗家坡污水处理厂</w:t>
            </w:r>
            <w:r>
              <w:rPr>
                <w:rFonts w:hint="eastAsia" w:ascii="Times New Roman"/>
                <w:color w:val="auto"/>
              </w:rPr>
              <w:t>。</w:t>
            </w:r>
          </w:p>
          <w:p>
            <w:pPr>
              <w:ind w:firstLine="482" w:firstLineChars="200"/>
              <w:rPr>
                <w:b/>
                <w:bCs/>
                <w:color w:val="auto"/>
              </w:rPr>
            </w:pPr>
            <w:r>
              <w:rPr>
                <w:rFonts w:hint="eastAsia"/>
                <w:b/>
                <w:bCs/>
                <w:color w:val="auto"/>
              </w:rPr>
              <w:t>污水处理站处理可行性分析：</w:t>
            </w:r>
          </w:p>
          <w:p>
            <w:pPr>
              <w:ind w:firstLine="480" w:firstLineChars="200"/>
              <w:rPr>
                <w:color w:val="auto"/>
              </w:rPr>
            </w:pPr>
            <w:r>
              <w:rPr>
                <w:rFonts w:hint="eastAsia"/>
                <w:color w:val="auto"/>
              </w:rPr>
              <w:t>项目污水</w:t>
            </w:r>
            <w:r>
              <w:rPr>
                <w:rFonts w:hint="eastAsia" w:ascii="Times New Roman"/>
                <w:color w:val="auto"/>
              </w:rPr>
              <w:t>水质复杂程度简单，属清净下水</w:t>
            </w:r>
            <w:r>
              <w:rPr>
                <w:rFonts w:hint="eastAsia" w:ascii="Times New Roman"/>
                <w:color w:val="auto"/>
                <w:lang w:eastAsia="zh-CN"/>
              </w:rPr>
              <w:t>，</w:t>
            </w:r>
            <w:r>
              <w:rPr>
                <w:rFonts w:hint="eastAsia"/>
                <w:color w:val="auto"/>
              </w:rPr>
              <w:t>经自建污水处理站（污水处理站规模为</w:t>
            </w:r>
            <w:r>
              <w:rPr>
                <w:rFonts w:ascii="Times New Roman" w:hAnsi="Times New Roman" w:cs="Times New Roman"/>
                <w:color w:val="auto"/>
              </w:rPr>
              <w:t>600t/d</w:t>
            </w:r>
            <w:r>
              <w:rPr>
                <w:rFonts w:hint="eastAsia" w:ascii="Times New Roman" w:hAnsi="Times New Roman" w:cs="Times New Roman"/>
                <w:color w:val="auto"/>
              </w:rPr>
              <w:t>，现有处理量为282.9t/d，可承受处理本项目排放污水即</w:t>
            </w:r>
            <w:r>
              <w:rPr>
                <w:rFonts w:hint="eastAsia" w:ascii="Times New Roman" w:hAnsi="Times New Roman" w:cs="Times New Roman"/>
                <w:color w:val="auto"/>
                <w:lang w:val="en-US" w:eastAsia="zh-CN"/>
              </w:rPr>
              <w:t>6.77</w:t>
            </w:r>
            <w:r>
              <w:rPr>
                <w:rFonts w:hint="eastAsia" w:ascii="Times New Roman" w:hAnsi="Times New Roman" w:cs="Times New Roman"/>
                <w:color w:val="auto"/>
              </w:rPr>
              <w:t>t/d</w:t>
            </w:r>
            <w:r>
              <w:rPr>
                <w:rFonts w:hint="eastAsia"/>
                <w:color w:val="auto"/>
              </w:rPr>
              <w:t>）处理后，排入市政管网，</w:t>
            </w:r>
            <w:r>
              <w:rPr>
                <w:rFonts w:hint="eastAsia"/>
                <w:color w:val="auto"/>
                <w:lang w:eastAsia="zh-CN"/>
              </w:rPr>
              <w:t>接纳标准</w:t>
            </w:r>
            <w:r>
              <w:rPr>
                <w:rFonts w:hint="eastAsia"/>
                <w:color w:val="auto"/>
              </w:rPr>
              <w:t>执行罗家坡污水处理厂进水标准</w:t>
            </w:r>
            <w:r>
              <w:rPr>
                <w:rFonts w:hint="eastAsia"/>
                <w:color w:val="auto"/>
                <w:lang w:eastAsia="zh-CN"/>
              </w:rPr>
              <w:t>，进水标准未规定的污染物项目执行</w:t>
            </w:r>
            <w:r>
              <w:rPr>
                <w:rFonts w:hint="eastAsia"/>
                <w:color w:val="auto"/>
              </w:rPr>
              <w:t>《污水综合排放标准》</w:t>
            </w:r>
            <w:r>
              <w:rPr>
                <w:rFonts w:ascii="Times New Roman" w:hAnsi="Times New Roman" w:cs="Times New Roman"/>
                <w:color w:val="auto"/>
              </w:rPr>
              <w:t>（GB8978-1996）三</w:t>
            </w:r>
            <w:r>
              <w:rPr>
                <w:rFonts w:hint="eastAsia"/>
                <w:color w:val="auto"/>
              </w:rPr>
              <w:t>级排放标准。</w:t>
            </w:r>
          </w:p>
          <w:p>
            <w:pPr>
              <w:ind w:firstLine="480" w:firstLineChars="200"/>
              <w:rPr>
                <w:color w:val="auto"/>
              </w:rPr>
            </w:pPr>
            <w:r>
              <w:rPr>
                <w:rFonts w:hint="eastAsia"/>
                <w:color w:val="auto"/>
              </w:rPr>
              <w:t>污水处理工艺流程如下：</w:t>
            </w:r>
          </w:p>
          <w:p>
            <w:pPr>
              <w:rPr>
                <w:color w:val="auto"/>
              </w:rPr>
            </w:pPr>
            <w:r>
              <w:rPr>
                <w:rFonts w:hint="eastAsia" w:cs="宋体"/>
                <w:color w:val="auto"/>
                <w:kern w:val="0"/>
              </w:rPr>
              <w:drawing>
                <wp:anchor distT="0" distB="0" distL="114300" distR="114300" simplePos="0" relativeHeight="251663360" behindDoc="0" locked="0" layoutInCell="1" allowOverlap="1">
                  <wp:simplePos x="0" y="0"/>
                  <wp:positionH relativeFrom="column">
                    <wp:posOffset>70485</wp:posOffset>
                  </wp:positionH>
                  <wp:positionV relativeFrom="paragraph">
                    <wp:posOffset>45085</wp:posOffset>
                  </wp:positionV>
                  <wp:extent cx="5618480" cy="2310130"/>
                  <wp:effectExtent l="0" t="0" r="1270" b="13970"/>
                  <wp:wrapNone/>
                  <wp:docPr id="3" name="图片 6" descr="污水处理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污水处理厂"/>
                          <pic:cNvPicPr>
                            <a:picLocks noChangeAspect="1"/>
                          </pic:cNvPicPr>
                        </pic:nvPicPr>
                        <pic:blipFill>
                          <a:blip r:embed="rId13"/>
                          <a:stretch>
                            <a:fillRect/>
                          </a:stretch>
                        </pic:blipFill>
                        <pic:spPr>
                          <a:xfrm>
                            <a:off x="0" y="0"/>
                            <a:ext cx="5618480" cy="2310130"/>
                          </a:xfrm>
                          <a:prstGeom prst="rect">
                            <a:avLst/>
                          </a:prstGeom>
                          <a:noFill/>
                          <a:ln>
                            <a:noFill/>
                          </a:ln>
                        </pic:spPr>
                      </pic:pic>
                    </a:graphicData>
                  </a:graphic>
                </wp:anchor>
              </w:drawing>
            </w:r>
          </w:p>
          <w:p>
            <w:pPr>
              <w:rPr>
                <w:color w:val="auto"/>
              </w:rPr>
            </w:pPr>
          </w:p>
          <w:p>
            <w:pPr>
              <w:rPr>
                <w:color w:val="auto"/>
              </w:rPr>
            </w:pPr>
          </w:p>
          <w:p>
            <w:pPr>
              <w:rPr>
                <w:color w:val="auto"/>
              </w:rPr>
            </w:pPr>
          </w:p>
          <w:p>
            <w:pPr>
              <w:rPr>
                <w:color w:val="auto"/>
              </w:rPr>
            </w:pPr>
          </w:p>
          <w:p>
            <w:pPr>
              <w:rPr>
                <w:color w:val="auto"/>
              </w:rPr>
            </w:pPr>
          </w:p>
          <w:p>
            <w:pPr>
              <w:rPr>
                <w:color w:val="auto"/>
              </w:rPr>
            </w:pPr>
          </w:p>
          <w:p>
            <w:pPr>
              <w:pStyle w:val="6"/>
              <w:ind w:firstLine="0" w:firstLineChars="0"/>
              <w:jc w:val="center"/>
              <w:outlineLvl w:val="2"/>
              <w:rPr>
                <w:color w:val="auto"/>
              </w:rPr>
            </w:pPr>
            <w:r>
              <w:rPr>
                <w:rFonts w:hint="eastAsia"/>
                <w:bCs/>
                <w:color w:val="auto"/>
              </w:rPr>
              <w:t>图7-1  污水处理工艺流程图</w:t>
            </w:r>
          </w:p>
          <w:p>
            <w:pPr>
              <w:ind w:firstLine="480" w:firstLineChars="200"/>
              <w:rPr>
                <w:rFonts w:ascii="Times New Roman"/>
                <w:b/>
                <w:bCs/>
                <w:color w:val="auto"/>
              </w:rPr>
            </w:pPr>
            <w:r>
              <w:rPr>
                <w:rFonts w:ascii="Times New Roman" w:hAnsi="Times New Roman" w:cs="Times New Roman"/>
                <w:color w:val="auto"/>
              </w:rPr>
              <w:t>因此，项目废水通过自建污水处理站处理（气浮+接触氧化工艺），进入罗家坡污水处理厂处理达标后排放对外环境影响较小。</w:t>
            </w:r>
          </w:p>
          <w:p>
            <w:pPr>
              <w:ind w:firstLine="482" w:firstLineChars="200"/>
              <w:rPr>
                <w:rFonts w:hint="eastAsia" w:ascii="Times New Roman"/>
                <w:b/>
                <w:bCs/>
                <w:color w:val="auto"/>
              </w:rPr>
            </w:pPr>
            <w:r>
              <w:rPr>
                <w:rFonts w:hint="eastAsia" w:ascii="Times New Roman"/>
                <w:b/>
                <w:bCs/>
                <w:color w:val="auto"/>
              </w:rPr>
              <w:t>污水处理厂接纳可行性分析：</w:t>
            </w:r>
          </w:p>
          <w:p>
            <w:pPr>
              <w:ind w:firstLine="480" w:firstLineChars="200"/>
              <w:rPr>
                <w:rFonts w:ascii="Times New Roman" w:hAnsi="Times New Roman" w:cs="Times New Roman"/>
                <w:color w:val="auto"/>
              </w:rPr>
            </w:pPr>
            <w:r>
              <w:rPr>
                <w:rFonts w:hint="eastAsia" w:ascii="Times New Roman"/>
                <w:color w:val="auto"/>
              </w:rPr>
              <w:t>项目废水主要为锅炉排污水及软水制备废水，水质复杂程度简单，为罗家坡污水处理厂常规处理项目；</w:t>
            </w:r>
            <w:r>
              <w:rPr>
                <w:rFonts w:hint="eastAsia"/>
                <w:color w:val="auto"/>
              </w:rPr>
              <w:t>项目废水日最大排放量</w:t>
            </w:r>
            <w:r>
              <w:rPr>
                <w:rFonts w:hint="eastAsia"/>
                <w:color w:val="auto"/>
                <w:highlight w:val="none"/>
              </w:rPr>
              <w:t>为</w:t>
            </w:r>
            <w:r>
              <w:rPr>
                <w:rFonts w:hint="eastAsia" w:ascii="Times New Roman" w:hAnsi="Times New Roman" w:cs="Times New Roman"/>
                <w:color w:val="auto"/>
                <w:highlight w:val="none"/>
                <w:lang w:val="en-US" w:eastAsia="zh-CN"/>
              </w:rPr>
              <w:t>6.77</w:t>
            </w:r>
            <w:r>
              <w:rPr>
                <w:rFonts w:hint="eastAsia" w:ascii="Times New Roman" w:hAnsi="Times New Roman" w:cs="Times New Roman"/>
                <w:color w:val="auto"/>
                <w:highlight w:val="none"/>
              </w:rPr>
              <w:t>m</w:t>
            </w:r>
            <w:r>
              <w:rPr>
                <w:rFonts w:hint="eastAsia" w:ascii="Times New Roman" w:hAnsi="Times New Roman" w:cs="Times New Roman"/>
                <w:color w:val="auto"/>
                <w:highlight w:val="none"/>
                <w:vertAlign w:val="superscript"/>
              </w:rPr>
              <w:t>3</w:t>
            </w:r>
            <w:r>
              <w:rPr>
                <w:rFonts w:ascii="Times New Roman" w:hAnsi="Times New Roman" w:cs="Times New Roman"/>
                <w:color w:val="auto"/>
                <w:highlight w:val="none"/>
              </w:rPr>
              <w:t>/d</w:t>
            </w:r>
            <w:r>
              <w:rPr>
                <w:rFonts w:hint="eastAsia"/>
                <w:color w:val="auto"/>
                <w:highlight w:val="none"/>
              </w:rPr>
              <w:t>，</w:t>
            </w:r>
            <w:r>
              <w:rPr>
                <w:rFonts w:hint="eastAsia"/>
                <w:color w:val="auto"/>
                <w:highlight w:val="none"/>
                <w:lang w:eastAsia="zh-CN"/>
              </w:rPr>
              <w:t>全厂</w:t>
            </w:r>
            <w:r>
              <w:rPr>
                <w:rFonts w:hint="eastAsia"/>
                <w:color w:val="auto"/>
                <w:highlight w:val="none"/>
              </w:rPr>
              <w:t>废水</w:t>
            </w:r>
            <w:r>
              <w:rPr>
                <w:rFonts w:hint="eastAsia"/>
                <w:color w:val="auto"/>
                <w:highlight w:val="none"/>
                <w:lang w:eastAsia="zh-CN"/>
              </w:rPr>
              <w:t>预测</w:t>
            </w:r>
            <w:r>
              <w:rPr>
                <w:rFonts w:hint="eastAsia"/>
                <w:color w:val="auto"/>
                <w:highlight w:val="none"/>
              </w:rPr>
              <w:t>排放量</w:t>
            </w:r>
            <w:r>
              <w:rPr>
                <w:rFonts w:hint="eastAsia"/>
                <w:color w:val="auto"/>
                <w:highlight w:val="none"/>
                <w:lang w:eastAsia="zh-CN"/>
              </w:rPr>
              <w:t>为</w:t>
            </w:r>
            <w:r>
              <w:rPr>
                <w:rFonts w:hint="default" w:ascii="Times New Roman" w:hAnsi="Times New Roman" w:cs="Times New Roman"/>
                <w:color w:val="auto"/>
                <w:highlight w:val="none"/>
                <w:lang w:val="en-US" w:eastAsia="zh-CN"/>
              </w:rPr>
              <w:t>289.67</w:t>
            </w:r>
            <w:r>
              <w:rPr>
                <w:rFonts w:hint="eastAsia" w:ascii="Times New Roman" w:hAnsi="Times New Roman" w:cs="Times New Roman"/>
                <w:color w:val="auto"/>
                <w:highlight w:val="none"/>
                <w:lang w:val="en-US" w:eastAsia="zh-CN"/>
              </w:rPr>
              <w:t>m</w:t>
            </w:r>
            <w:r>
              <w:rPr>
                <w:rFonts w:hint="eastAsia" w:ascii="Times New Roman" w:hAnsi="Times New Roman" w:cs="Times New Roman"/>
                <w:color w:val="auto"/>
                <w:highlight w:val="none"/>
                <w:vertAlign w:val="superscript"/>
                <w:lang w:val="en-US" w:eastAsia="zh-CN"/>
              </w:rPr>
              <w:t>3</w:t>
            </w:r>
            <w:r>
              <w:rPr>
                <w:rFonts w:hint="eastAsia" w:ascii="Times New Roman" w:hAnsi="Times New Roman" w:cs="Times New Roman"/>
                <w:color w:val="auto"/>
                <w:highlight w:val="none"/>
                <w:lang w:val="en-US" w:eastAsia="zh-CN"/>
              </w:rPr>
              <w:t>/d</w:t>
            </w:r>
            <w:r>
              <w:rPr>
                <w:rFonts w:hint="default" w:ascii="Times New Roman" w:hAnsi="Times New Roman" w:cs="Times New Roman"/>
                <w:color w:val="auto"/>
                <w:highlight w:val="none"/>
                <w:lang w:val="en-US" w:eastAsia="zh-CN"/>
              </w:rPr>
              <w:t>，</w:t>
            </w:r>
            <w:r>
              <w:rPr>
                <w:rFonts w:hint="eastAsia"/>
                <w:color w:val="auto"/>
                <w:highlight w:val="none"/>
              </w:rPr>
              <w:t>仅占罗家坡污水处理厂实际处理规模</w:t>
            </w:r>
            <w:r>
              <w:rPr>
                <w:rFonts w:ascii="Times New Roman" w:hAnsi="Times New Roman" w:cs="Times New Roman"/>
                <w:color w:val="auto"/>
                <w:highlight w:val="none"/>
              </w:rPr>
              <w:t>的0.</w:t>
            </w:r>
            <w:r>
              <w:rPr>
                <w:rFonts w:hint="eastAsia" w:ascii="Times New Roman" w:hAnsi="Times New Roman" w:cs="Times New Roman"/>
                <w:color w:val="auto"/>
                <w:highlight w:val="none"/>
                <w:lang w:val="en-US" w:eastAsia="zh-CN"/>
              </w:rPr>
              <w:t>2897</w:t>
            </w:r>
            <w:r>
              <w:rPr>
                <w:rFonts w:ascii="Times New Roman" w:hAnsi="Times New Roman" w:cs="Times New Roman"/>
                <w:color w:val="auto"/>
                <w:highlight w:val="none"/>
              </w:rPr>
              <w:t>%（罗</w:t>
            </w:r>
            <w:r>
              <w:rPr>
                <w:rFonts w:hint="eastAsia"/>
                <w:color w:val="auto"/>
                <w:highlight w:val="none"/>
              </w:rPr>
              <w:t>家坡污水处理厂</w:t>
            </w:r>
            <w:r>
              <w:rPr>
                <w:rFonts w:ascii="Times New Roman"/>
                <w:color w:val="auto"/>
                <w:highlight w:val="none"/>
              </w:rPr>
              <w:t>工程设计日处理污水量为</w:t>
            </w:r>
            <w:r>
              <w:rPr>
                <w:rFonts w:hint="eastAsia" w:ascii="Times New Roman"/>
                <w:color w:val="auto"/>
                <w:highlight w:val="none"/>
                <w:lang w:val="en-US" w:eastAsia="zh-CN"/>
              </w:rPr>
              <w:t>1.0</w:t>
            </w:r>
            <w:r>
              <w:rPr>
                <w:rFonts w:ascii="Times New Roman"/>
                <w:color w:val="auto"/>
                <w:highlight w:val="none"/>
              </w:rPr>
              <w:t>×10</w:t>
            </w:r>
            <w:r>
              <w:rPr>
                <w:rFonts w:hint="eastAsia" w:ascii="Times New Roman"/>
                <w:color w:val="auto"/>
                <w:highlight w:val="none"/>
                <w:vertAlign w:val="superscript"/>
                <w:lang w:val="en-US" w:eastAsia="zh-CN"/>
              </w:rPr>
              <w:t>5</w:t>
            </w:r>
            <w:r>
              <w:rPr>
                <w:rFonts w:ascii="Times New Roman"/>
                <w:color w:val="auto"/>
                <w:highlight w:val="none"/>
              </w:rPr>
              <w:t>m</w:t>
            </w:r>
            <w:r>
              <w:rPr>
                <w:rFonts w:ascii="Times New Roman"/>
                <w:color w:val="auto"/>
                <w:highlight w:val="none"/>
                <w:vertAlign w:val="superscript"/>
              </w:rPr>
              <w:t>3</w:t>
            </w:r>
            <w:r>
              <w:rPr>
                <w:rFonts w:ascii="Times New Roman"/>
                <w:color w:val="auto"/>
                <w:highlight w:val="none"/>
              </w:rPr>
              <w:t>/d</w:t>
            </w:r>
            <w:r>
              <w:rPr>
                <w:rFonts w:hint="eastAsia"/>
                <w:color w:val="auto"/>
                <w:highlight w:val="none"/>
              </w:rPr>
              <w:t>），不会对罗家坡污水处理厂造成冲击。</w:t>
            </w:r>
          </w:p>
          <w:p>
            <w:pPr>
              <w:ind w:firstLine="480" w:firstLineChars="200"/>
              <w:rPr>
                <w:color w:val="auto"/>
              </w:rPr>
            </w:pPr>
            <w:r>
              <w:rPr>
                <w:rFonts w:hint="eastAsia"/>
                <w:color w:val="auto"/>
              </w:rPr>
              <w:t>项目废水污染物排放信息表：</w:t>
            </w:r>
          </w:p>
          <w:p>
            <w:pPr>
              <w:spacing w:line="360" w:lineRule="auto"/>
              <w:jc w:val="center"/>
              <w:rPr>
                <w:rFonts w:ascii="Times New Roman" w:hAnsi="Times New Roman" w:cs="Times New Roman"/>
                <w:b/>
                <w:bCs/>
                <w:color w:val="auto"/>
              </w:rPr>
            </w:pPr>
            <w:r>
              <w:rPr>
                <w:rFonts w:hint="eastAsia" w:ascii="Times New Roman" w:hAnsi="Times New Roman" w:cs="Times New Roman"/>
                <w:b/>
                <w:bCs/>
                <w:color w:val="auto"/>
              </w:rPr>
              <w:t>表7-1  废水类别、污染物及污染治理设施信息表</w:t>
            </w:r>
          </w:p>
          <w:tbl>
            <w:tblPr>
              <w:tblStyle w:val="1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874"/>
              <w:gridCol w:w="968"/>
              <w:gridCol w:w="925"/>
              <w:gridCol w:w="795"/>
              <w:gridCol w:w="816"/>
              <w:gridCol w:w="683"/>
              <w:gridCol w:w="566"/>
              <w:gridCol w:w="959"/>
              <w:gridCol w:w="179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90"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废水类别</w:t>
                  </w:r>
                </w:p>
              </w:tc>
              <w:tc>
                <w:tcPr>
                  <w:tcW w:w="489"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污染物</w:t>
                  </w:r>
                </w:p>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种类</w:t>
                  </w:r>
                </w:p>
              </w:tc>
              <w:tc>
                <w:tcPr>
                  <w:tcW w:w="541"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w:t>
                  </w:r>
                </w:p>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去向</w:t>
                  </w:r>
                </w:p>
              </w:tc>
              <w:tc>
                <w:tcPr>
                  <w:tcW w:w="517"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w:t>
                  </w:r>
                </w:p>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规律</w:t>
                  </w:r>
                </w:p>
              </w:tc>
              <w:tc>
                <w:tcPr>
                  <w:tcW w:w="1224" w:type="pct"/>
                  <w:gridSpan w:val="3"/>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污染治理设施</w:t>
                  </w:r>
                </w:p>
              </w:tc>
              <w:tc>
                <w:tcPr>
                  <w:tcW w:w="305"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排放口编号</w:t>
                  </w:r>
                </w:p>
              </w:tc>
              <w:tc>
                <w:tcPr>
                  <w:tcW w:w="536"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排放口设置是否符合要求</w:t>
                  </w:r>
                </w:p>
              </w:tc>
              <w:tc>
                <w:tcPr>
                  <w:tcW w:w="993"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排放口类型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97" w:hRule="atLeast"/>
                <w:jc w:val="center"/>
              </w:trPr>
              <w:tc>
                <w:tcPr>
                  <w:tcW w:w="390"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489"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541"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517"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383" w:type="pc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污染治理设施编号</w:t>
                  </w:r>
                </w:p>
              </w:tc>
              <w:tc>
                <w:tcPr>
                  <w:tcW w:w="457" w:type="pc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污染治理设施名称</w:t>
                  </w:r>
                </w:p>
              </w:tc>
              <w:tc>
                <w:tcPr>
                  <w:tcW w:w="384" w:type="pc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污染治理设施工艺</w:t>
                  </w:r>
                </w:p>
              </w:tc>
              <w:tc>
                <w:tcPr>
                  <w:tcW w:w="305"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536"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993"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0" w:type="pc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锅炉废水</w:t>
                  </w:r>
                </w:p>
              </w:tc>
              <w:tc>
                <w:tcPr>
                  <w:tcW w:w="489"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COD</w:t>
                  </w:r>
                </w:p>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NH</w:t>
                  </w:r>
                  <w:r>
                    <w:rPr>
                      <w:rFonts w:ascii="Times New Roman" w:hAnsi="Times New Roman" w:cs="Times New Roman"/>
                      <w:color w:val="auto"/>
                      <w:sz w:val="21"/>
                      <w:szCs w:val="21"/>
                      <w:vertAlign w:val="subscript"/>
                    </w:rPr>
                    <w:t>3</w:t>
                  </w:r>
                  <w:r>
                    <w:rPr>
                      <w:rFonts w:ascii="Times New Roman" w:hAnsi="Times New Roman" w:cs="Times New Roman"/>
                      <w:color w:val="auto"/>
                      <w:sz w:val="21"/>
                      <w:szCs w:val="21"/>
                    </w:rPr>
                    <w:t>-N</w:t>
                  </w:r>
                </w:p>
              </w:tc>
              <w:tc>
                <w:tcPr>
                  <w:tcW w:w="541" w:type="pc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罗家坡污水处理厂</w:t>
                  </w:r>
                </w:p>
              </w:tc>
              <w:tc>
                <w:tcPr>
                  <w:tcW w:w="517"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连续</w:t>
                  </w:r>
                  <w:r>
                    <w:rPr>
                      <w:rFonts w:ascii="Times New Roman" w:hAnsi="Times New Roman" w:cs="Times New Roman"/>
                      <w:color w:val="auto"/>
                      <w:sz w:val="21"/>
                      <w:szCs w:val="21"/>
                    </w:rPr>
                    <w:t>排放，流量稳定</w:t>
                  </w:r>
                </w:p>
              </w:tc>
              <w:tc>
                <w:tcPr>
                  <w:tcW w:w="383"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TA001</w:t>
                  </w:r>
                </w:p>
              </w:tc>
              <w:tc>
                <w:tcPr>
                  <w:tcW w:w="457"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污水处理站</w:t>
                  </w:r>
                </w:p>
              </w:tc>
              <w:tc>
                <w:tcPr>
                  <w:tcW w:w="384"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气浮+接触氧化</w:t>
                  </w:r>
                </w:p>
              </w:tc>
              <w:tc>
                <w:tcPr>
                  <w:tcW w:w="305"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DW</w:t>
                  </w:r>
                </w:p>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001</w:t>
                  </w:r>
                </w:p>
              </w:tc>
              <w:tc>
                <w:tcPr>
                  <w:tcW w:w="536" w:type="pct"/>
                  <w:vAlign w:val="center"/>
                </w:tcPr>
                <w:p>
                  <w:pPr>
                    <w:autoSpaceDE w:val="0"/>
                    <w:autoSpaceDN w:val="0"/>
                    <w:adjustRightInd w:val="0"/>
                    <w:spacing w:line="240" w:lineRule="auto"/>
                    <w:jc w:val="center"/>
                    <w:rPr>
                      <w:rFonts w:ascii="Times New Roman" w:hAnsi="Times New Roman" w:cs="Times New Roman"/>
                      <w:color w:val="auto"/>
                      <w:spacing w:val="6"/>
                      <w:sz w:val="21"/>
                      <w:szCs w:val="21"/>
                    </w:rPr>
                  </w:pPr>
                </w:p>
                <w:p>
                  <w:pPr>
                    <w:autoSpaceDE w:val="0"/>
                    <w:autoSpaceDN w:val="0"/>
                    <w:adjustRightInd w:val="0"/>
                    <w:spacing w:line="240" w:lineRule="auto"/>
                    <w:jc w:val="center"/>
                    <w:rPr>
                      <w:rFonts w:ascii="Times New Roman" w:hAnsi="Times New Roman" w:cs="Times New Roman"/>
                      <w:color w:val="auto"/>
                      <w:spacing w:val="6"/>
                      <w:sz w:val="21"/>
                      <w:szCs w:val="21"/>
                    </w:rPr>
                  </w:pPr>
                  <w:r>
                    <w:rPr>
                      <w:rFonts w:ascii="Times New Roman" w:hAnsi="Times New Roman" w:eastAsia="MS Gothic" w:cs="Times New Roman"/>
                      <w:color w:val="auto"/>
                      <w:spacing w:val="6"/>
                      <w:sz w:val="21"/>
                      <w:szCs w:val="21"/>
                    </w:rPr>
                    <w:t>☑是</w:t>
                  </w:r>
                </w:p>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pacing w:val="6"/>
                      <w:sz w:val="21"/>
                      <w:szCs w:val="21"/>
                    </w:rPr>
                    <w:t>□否</w:t>
                  </w:r>
                </w:p>
              </w:tc>
              <w:tc>
                <w:tcPr>
                  <w:tcW w:w="993" w:type="pct"/>
                  <w:vAlign w:val="center"/>
                </w:tcPr>
                <w:p>
                  <w:pPr>
                    <w:autoSpaceDE w:val="0"/>
                    <w:autoSpaceDN w:val="0"/>
                    <w:adjustRightInd w:val="0"/>
                    <w:spacing w:line="240" w:lineRule="auto"/>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sym w:font="Wingdings 2" w:char="0052"/>
                  </w:r>
                  <w:r>
                    <w:rPr>
                      <w:rFonts w:ascii="Times New Roman" w:hAnsi="Times New Roman" w:cs="Times New Roman"/>
                      <w:color w:val="auto"/>
                      <w:spacing w:val="6"/>
                      <w:sz w:val="21"/>
                      <w:szCs w:val="21"/>
                    </w:rPr>
                    <w:t>企业总排</w:t>
                  </w:r>
                </w:p>
                <w:p>
                  <w:pPr>
                    <w:autoSpaceDE w:val="0"/>
                    <w:autoSpaceDN w:val="0"/>
                    <w:adjustRightInd w:val="0"/>
                    <w:spacing w:line="240" w:lineRule="auto"/>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sym w:font="Wingdings 2" w:char="00A3"/>
                  </w:r>
                  <w:r>
                    <w:rPr>
                      <w:rFonts w:ascii="Times New Roman" w:hAnsi="Times New Roman" w:cs="Times New Roman"/>
                      <w:color w:val="auto"/>
                      <w:spacing w:val="6"/>
                      <w:sz w:val="21"/>
                      <w:szCs w:val="21"/>
                    </w:rPr>
                    <w:t>雨水排放</w:t>
                  </w:r>
                </w:p>
                <w:p>
                  <w:pPr>
                    <w:autoSpaceDE w:val="0"/>
                    <w:autoSpaceDN w:val="0"/>
                    <w:adjustRightInd w:val="0"/>
                    <w:spacing w:line="240" w:lineRule="auto"/>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□清净下水排放</w:t>
                  </w:r>
                </w:p>
                <w:p>
                  <w:pPr>
                    <w:autoSpaceDE w:val="0"/>
                    <w:autoSpaceDN w:val="0"/>
                    <w:adjustRightInd w:val="0"/>
                    <w:spacing w:line="240" w:lineRule="auto"/>
                    <w:rPr>
                      <w:rFonts w:ascii="Times New Roman" w:hAnsi="Times New Roman" w:cs="Times New Roman"/>
                      <w:color w:val="auto"/>
                      <w:spacing w:val="6"/>
                      <w:sz w:val="21"/>
                      <w:szCs w:val="21"/>
                    </w:rPr>
                  </w:pPr>
                  <w:r>
                    <w:rPr>
                      <w:rFonts w:ascii="Times New Roman" w:hAnsi="Times New Roman" w:cs="Times New Roman"/>
                      <w:color w:val="auto"/>
                      <w:spacing w:val="6"/>
                      <w:sz w:val="21"/>
                      <w:szCs w:val="21"/>
                    </w:rPr>
                    <w:t>□温排水排放</w:t>
                  </w:r>
                </w:p>
                <w:p>
                  <w:pPr>
                    <w:autoSpaceDE w:val="0"/>
                    <w:autoSpaceDN w:val="0"/>
                    <w:adjustRightInd w:val="0"/>
                    <w:spacing w:line="240" w:lineRule="auto"/>
                    <w:rPr>
                      <w:rFonts w:ascii="Times New Roman" w:hAnsi="Times New Roman" w:cs="Times New Roman"/>
                      <w:color w:val="auto"/>
                      <w:sz w:val="21"/>
                      <w:szCs w:val="21"/>
                    </w:rPr>
                  </w:pPr>
                  <w:r>
                    <w:rPr>
                      <w:rFonts w:ascii="Times New Roman" w:hAnsi="Times New Roman" w:cs="Times New Roman"/>
                      <w:color w:val="auto"/>
                      <w:spacing w:val="6"/>
                      <w:sz w:val="21"/>
                      <w:szCs w:val="21"/>
                    </w:rPr>
                    <w:t>□车间或车间处理设施排放口</w:t>
                  </w:r>
                </w:p>
              </w:tc>
            </w:tr>
          </w:tbl>
          <w:p>
            <w:pPr>
              <w:spacing w:line="360" w:lineRule="auto"/>
              <w:jc w:val="center"/>
              <w:rPr>
                <w:rFonts w:ascii="Times New Roman" w:hAnsi="Times New Roman" w:cs="Times New Roman"/>
                <w:b/>
                <w:bCs/>
                <w:color w:val="auto"/>
              </w:rPr>
            </w:pPr>
            <w:r>
              <w:rPr>
                <w:rFonts w:hint="eastAsia" w:ascii="Times New Roman" w:hAnsi="Times New Roman" w:cs="Times New Roman"/>
                <w:b/>
                <w:bCs/>
                <w:color w:val="auto"/>
              </w:rPr>
              <w:t>表7-2  生产废水间接排放口基本情况表</w:t>
            </w:r>
          </w:p>
          <w:tbl>
            <w:tblPr>
              <w:tblStyle w:val="1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1113"/>
              <w:gridCol w:w="1109"/>
              <w:gridCol w:w="794"/>
              <w:gridCol w:w="837"/>
              <w:gridCol w:w="919"/>
              <w:gridCol w:w="480"/>
              <w:gridCol w:w="888"/>
              <w:gridCol w:w="877"/>
              <w:gridCol w:w="117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85"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排放口编号</w:t>
                  </w:r>
                </w:p>
              </w:tc>
              <w:tc>
                <w:tcPr>
                  <w:tcW w:w="1227" w:type="pct"/>
                  <w:gridSpan w:val="2"/>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排放口地理坐标</w:t>
                  </w:r>
                </w:p>
              </w:tc>
              <w:tc>
                <w:tcPr>
                  <w:tcW w:w="417"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废水排放量/(万t/a)</w:t>
                  </w:r>
                </w:p>
              </w:tc>
              <w:tc>
                <w:tcPr>
                  <w:tcW w:w="464"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w:t>
                  </w:r>
                </w:p>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去向</w:t>
                  </w:r>
                </w:p>
              </w:tc>
              <w:tc>
                <w:tcPr>
                  <w:tcW w:w="509"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排放规律</w:t>
                  </w:r>
                </w:p>
              </w:tc>
              <w:tc>
                <w:tcPr>
                  <w:tcW w:w="267"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间歇排放时段</w:t>
                  </w:r>
                </w:p>
              </w:tc>
              <w:tc>
                <w:tcPr>
                  <w:tcW w:w="1626" w:type="pct"/>
                  <w:gridSpan w:val="3"/>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受纳污水处理厂信息</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85"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616" w:type="pc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经度</w:t>
                  </w:r>
                </w:p>
              </w:tc>
              <w:tc>
                <w:tcPr>
                  <w:tcW w:w="611" w:type="pc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纬度</w:t>
                  </w:r>
                </w:p>
              </w:tc>
              <w:tc>
                <w:tcPr>
                  <w:tcW w:w="417"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464"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509"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267"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492" w:type="pc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名称</w:t>
                  </w:r>
                </w:p>
              </w:tc>
              <w:tc>
                <w:tcPr>
                  <w:tcW w:w="486" w:type="pc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污染物种类</w:t>
                  </w:r>
                </w:p>
              </w:tc>
              <w:tc>
                <w:tcPr>
                  <w:tcW w:w="647" w:type="pc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国家或地方污染物排放标准浓度限值(mg/L)</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85" w:type="pct"/>
                  <w:vMerge w:val="restar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DW001</w:t>
                  </w:r>
                </w:p>
              </w:tc>
              <w:tc>
                <w:tcPr>
                  <w:tcW w:w="616" w:type="pct"/>
                  <w:vMerge w:val="restart"/>
                  <w:vAlign w:val="center"/>
                </w:tcPr>
                <w:p>
                  <w:pPr>
                    <w:autoSpaceDE w:val="0"/>
                    <w:autoSpaceDN w:val="0"/>
                    <w:adjustRightInd w:val="0"/>
                    <w:spacing w:line="240" w:lineRule="auto"/>
                    <w:rPr>
                      <w:rFonts w:ascii="Times New Roman" w:hAnsi="Times New Roman" w:eastAsia="宋体" w:cs="Times New Roman"/>
                      <w:color w:val="auto"/>
                      <w:sz w:val="21"/>
                      <w:szCs w:val="21"/>
                    </w:rPr>
                  </w:pPr>
                  <w:r>
                    <w:rPr>
                      <w:rFonts w:ascii="Times New Roman" w:hAnsi="Times New Roman" w:cs="Times New Roman"/>
                      <w:color w:val="auto"/>
                      <w:sz w:val="21"/>
                      <w:szCs w:val="21"/>
                    </w:rPr>
                    <w:t>113.92203</w:t>
                  </w:r>
                </w:p>
              </w:tc>
              <w:tc>
                <w:tcPr>
                  <w:tcW w:w="611" w:type="pct"/>
                  <w:vMerge w:val="restar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29.224795</w:t>
                  </w:r>
                </w:p>
              </w:tc>
              <w:tc>
                <w:tcPr>
                  <w:tcW w:w="417" w:type="pct"/>
                  <w:vMerge w:val="restart"/>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0.2032</w:t>
                  </w:r>
                </w:p>
              </w:tc>
              <w:tc>
                <w:tcPr>
                  <w:tcW w:w="464" w:type="pct"/>
                  <w:vMerge w:val="restar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罗家坡污水处理厂</w:t>
                  </w:r>
                </w:p>
              </w:tc>
              <w:tc>
                <w:tcPr>
                  <w:tcW w:w="509" w:type="pct"/>
                  <w:vMerge w:val="restar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连续</w:t>
                  </w:r>
                  <w:r>
                    <w:rPr>
                      <w:rFonts w:ascii="Times New Roman" w:hAnsi="Times New Roman" w:cs="Times New Roman"/>
                      <w:color w:val="auto"/>
                      <w:sz w:val="21"/>
                      <w:szCs w:val="21"/>
                    </w:rPr>
                    <w:t>排放，流量稳定</w:t>
                  </w:r>
                </w:p>
              </w:tc>
              <w:tc>
                <w:tcPr>
                  <w:tcW w:w="267" w:type="pct"/>
                  <w:vMerge w:val="restar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w:t>
                  </w:r>
                </w:p>
              </w:tc>
              <w:tc>
                <w:tcPr>
                  <w:tcW w:w="492" w:type="pct"/>
                  <w:vMerge w:val="restar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罗家坡污水处理厂</w:t>
                  </w:r>
                </w:p>
              </w:tc>
              <w:tc>
                <w:tcPr>
                  <w:tcW w:w="486"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CODcr</w:t>
                  </w:r>
                </w:p>
              </w:tc>
              <w:tc>
                <w:tcPr>
                  <w:tcW w:w="647"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85"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616"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611"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417"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464"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509"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267"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492" w:type="pct"/>
                  <w:vMerge w:val="continue"/>
                  <w:vAlign w:val="center"/>
                </w:tcPr>
                <w:p>
                  <w:pPr>
                    <w:autoSpaceDE w:val="0"/>
                    <w:autoSpaceDN w:val="0"/>
                    <w:adjustRightInd w:val="0"/>
                    <w:spacing w:line="240" w:lineRule="auto"/>
                    <w:jc w:val="center"/>
                    <w:rPr>
                      <w:rFonts w:ascii="Times New Roman" w:hAnsi="Times New Roman" w:cs="Times New Roman"/>
                      <w:color w:val="auto"/>
                      <w:kern w:val="0"/>
                      <w:sz w:val="21"/>
                      <w:szCs w:val="21"/>
                    </w:rPr>
                  </w:pPr>
                </w:p>
              </w:tc>
              <w:tc>
                <w:tcPr>
                  <w:tcW w:w="486" w:type="pc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SS</w:t>
                  </w:r>
                </w:p>
              </w:tc>
              <w:tc>
                <w:tcPr>
                  <w:tcW w:w="647"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85"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616"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611"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417"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464"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509"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267"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492" w:type="pct"/>
                  <w:vMerge w:val="continue"/>
                  <w:vAlign w:val="center"/>
                </w:tcPr>
                <w:p>
                  <w:pPr>
                    <w:autoSpaceDE w:val="0"/>
                    <w:autoSpaceDN w:val="0"/>
                    <w:adjustRightInd w:val="0"/>
                    <w:spacing w:line="240" w:lineRule="auto"/>
                    <w:jc w:val="center"/>
                    <w:rPr>
                      <w:rFonts w:ascii="Times New Roman" w:hAnsi="Times New Roman" w:cs="Times New Roman"/>
                      <w:color w:val="auto"/>
                      <w:kern w:val="0"/>
                      <w:sz w:val="21"/>
                      <w:szCs w:val="21"/>
                    </w:rPr>
                  </w:pPr>
                </w:p>
              </w:tc>
              <w:tc>
                <w:tcPr>
                  <w:tcW w:w="486"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NH</w:t>
                  </w:r>
                  <w:r>
                    <w:rPr>
                      <w:rFonts w:ascii="Times New Roman" w:hAnsi="Times New Roman" w:cs="Times New Roman"/>
                      <w:color w:val="auto"/>
                      <w:sz w:val="21"/>
                      <w:szCs w:val="21"/>
                      <w:vertAlign w:val="subscript"/>
                    </w:rPr>
                    <w:t>3</w:t>
                  </w:r>
                  <w:r>
                    <w:rPr>
                      <w:rFonts w:ascii="Times New Roman" w:hAnsi="Times New Roman" w:cs="Times New Roman"/>
                      <w:color w:val="auto"/>
                      <w:sz w:val="21"/>
                      <w:szCs w:val="21"/>
                    </w:rPr>
                    <w:t>-N</w:t>
                  </w:r>
                </w:p>
              </w:tc>
              <w:tc>
                <w:tcPr>
                  <w:tcW w:w="647" w:type="pc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5</w:t>
                  </w:r>
                </w:p>
              </w:tc>
            </w:tr>
          </w:tbl>
          <w:p>
            <w:pPr>
              <w:spacing w:line="360" w:lineRule="auto"/>
              <w:jc w:val="center"/>
              <w:rPr>
                <w:rFonts w:ascii="Times New Roman" w:hAnsi="Times New Roman" w:cs="Times New Roman"/>
                <w:b/>
                <w:bCs/>
                <w:color w:val="auto"/>
              </w:rPr>
            </w:pPr>
            <w:r>
              <w:rPr>
                <w:rFonts w:hint="eastAsia" w:ascii="Times New Roman" w:hAnsi="Times New Roman" w:cs="Times New Roman"/>
                <w:b/>
                <w:bCs/>
                <w:color w:val="auto"/>
              </w:rPr>
              <w:t>表7-3  废水污染物排放信息表</w:t>
            </w:r>
          </w:p>
          <w:tbl>
            <w:tblPr>
              <w:tblStyle w:val="1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84"/>
              <w:gridCol w:w="1500"/>
              <w:gridCol w:w="1877"/>
              <w:gridCol w:w="1841"/>
              <w:gridCol w:w="236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排放口编号</w:t>
                  </w:r>
                </w:p>
              </w:tc>
              <w:tc>
                <w:tcPr>
                  <w:tcW w:w="827"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污染物种类</w:t>
                  </w:r>
                </w:p>
              </w:tc>
              <w:tc>
                <w:tcPr>
                  <w:tcW w:w="1035" w:type="pct"/>
                  <w:vMerge w:val="restart"/>
                  <w:vAlign w:val="center"/>
                </w:tcPr>
                <w:p>
                  <w:pPr>
                    <w:autoSpaceDE w:val="0"/>
                    <w:autoSpaceDN w:val="0"/>
                    <w:adjustRightInd w:val="0"/>
                    <w:spacing w:line="240" w:lineRule="auto"/>
                    <w:jc w:val="center"/>
                    <w:rPr>
                      <w:rFonts w:ascii="Times New Roman" w:hAnsi="Times New Roman" w:eastAsia="宋体" w:cs="Times New Roman"/>
                      <w:b/>
                      <w:color w:val="auto"/>
                      <w:sz w:val="21"/>
                      <w:szCs w:val="21"/>
                    </w:rPr>
                  </w:pPr>
                  <w:r>
                    <w:rPr>
                      <w:rFonts w:ascii="Times New Roman" w:hAnsi="Times New Roman" w:cs="Times New Roman"/>
                      <w:b/>
                      <w:color w:val="auto"/>
                      <w:sz w:val="21"/>
                      <w:szCs w:val="21"/>
                    </w:rPr>
                    <w:t>排放浓度/(mg/L)</w:t>
                  </w:r>
                </w:p>
              </w:tc>
              <w:tc>
                <w:tcPr>
                  <w:tcW w:w="1014"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日排放量/(t/d)</w:t>
                  </w:r>
                </w:p>
              </w:tc>
              <w:tc>
                <w:tcPr>
                  <w:tcW w:w="1303" w:type="pct"/>
                  <w:vMerge w:val="restart"/>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年排放量/(t/a)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827"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1035"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1014"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1303" w:type="pct"/>
                  <w:vMerge w:val="continue"/>
                  <w:vAlign w:val="center"/>
                </w:tcPr>
                <w:p>
                  <w:pPr>
                    <w:autoSpaceDE w:val="0"/>
                    <w:autoSpaceDN w:val="0"/>
                    <w:adjustRightInd w:val="0"/>
                    <w:spacing w:line="240" w:lineRule="auto"/>
                    <w:jc w:val="center"/>
                    <w:rPr>
                      <w:rFonts w:ascii="Times New Roman" w:hAnsi="Times New Roman" w:cs="Times New Roman"/>
                      <w:b/>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restar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DW001</w:t>
                  </w:r>
                </w:p>
              </w:tc>
              <w:tc>
                <w:tcPr>
                  <w:tcW w:w="827"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CODcr</w:t>
                  </w:r>
                </w:p>
              </w:tc>
              <w:tc>
                <w:tcPr>
                  <w:tcW w:w="1035" w:type="pc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50</w:t>
                  </w:r>
                </w:p>
              </w:tc>
              <w:tc>
                <w:tcPr>
                  <w:tcW w:w="1014" w:type="pct"/>
                  <w:vAlign w:val="center"/>
                </w:tcPr>
                <w:p>
                  <w:pPr>
                    <w:widowControl/>
                    <w:spacing w:line="240" w:lineRule="auto"/>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kern w:val="0"/>
                      <w:sz w:val="21"/>
                      <w:szCs w:val="21"/>
                      <w:lang w:val="en-US" w:eastAsia="zh-CN" w:bidi="ar"/>
                    </w:rPr>
                    <w:t>0.0017</w:t>
                  </w:r>
                </w:p>
              </w:tc>
              <w:tc>
                <w:tcPr>
                  <w:tcW w:w="1303" w:type="pct"/>
                  <w:vAlign w:val="center"/>
                </w:tcPr>
                <w:p>
                  <w:pPr>
                    <w:widowControl/>
                    <w:spacing w:line="240" w:lineRule="auto"/>
                    <w:jc w:val="center"/>
                    <w:textAlignment w:val="center"/>
                    <w:rPr>
                      <w:rFonts w:hint="default" w:ascii="Times New Roman" w:hAnsi="Times New Roman" w:eastAsia="宋体" w:cs="Times New Roman"/>
                      <w:color w:val="auto"/>
                      <w:sz w:val="21"/>
                      <w:szCs w:val="21"/>
                      <w:lang w:val="en-US" w:eastAsia="zh-CN"/>
                    </w:rPr>
                  </w:pPr>
                  <w:r>
                    <w:rPr>
                      <w:rFonts w:ascii="Times New Roman" w:hAnsi="Times New Roman" w:eastAsia="宋体" w:cs="Times New Roman"/>
                      <w:color w:val="auto"/>
                      <w:kern w:val="0"/>
                      <w:sz w:val="21"/>
                      <w:szCs w:val="21"/>
                      <w:lang w:bidi="ar"/>
                    </w:rPr>
                    <w:t>0.</w:t>
                  </w:r>
                  <w:r>
                    <w:rPr>
                      <w:rFonts w:hint="eastAsia" w:ascii="Times New Roman" w:hAnsi="Times New Roman" w:eastAsia="宋体" w:cs="Times New Roman"/>
                      <w:color w:val="auto"/>
                      <w:kern w:val="0"/>
                      <w:sz w:val="21"/>
                      <w:szCs w:val="21"/>
                      <w:lang w:val="en-US" w:eastAsia="zh-CN" w:bidi="ar"/>
                    </w:rPr>
                    <w:t>1016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90" w:hRule="atLeast"/>
                <w:jc w:val="center"/>
              </w:trPr>
              <w:tc>
                <w:tcPr>
                  <w:tcW w:w="819"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827" w:type="pc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SS</w:t>
                  </w:r>
                </w:p>
              </w:tc>
              <w:tc>
                <w:tcPr>
                  <w:tcW w:w="1035" w:type="pc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10</w:t>
                  </w:r>
                </w:p>
              </w:tc>
              <w:tc>
                <w:tcPr>
                  <w:tcW w:w="1014" w:type="pct"/>
                  <w:vAlign w:val="center"/>
                </w:tcPr>
                <w:p>
                  <w:pPr>
                    <w:widowControl/>
                    <w:spacing w:line="240" w:lineRule="auto"/>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kern w:val="0"/>
                      <w:sz w:val="21"/>
                      <w:szCs w:val="21"/>
                      <w:lang w:val="en-US" w:eastAsia="zh-CN" w:bidi="ar"/>
                    </w:rPr>
                    <w:t>0.00034</w:t>
                  </w:r>
                </w:p>
              </w:tc>
              <w:tc>
                <w:tcPr>
                  <w:tcW w:w="1303" w:type="pct"/>
                  <w:vAlign w:val="center"/>
                </w:tcPr>
                <w:p>
                  <w:pPr>
                    <w:widowControl/>
                    <w:spacing w:line="240" w:lineRule="auto"/>
                    <w:jc w:val="center"/>
                    <w:textAlignment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eastAsia="宋体" w:cs="Times New Roman"/>
                      <w:color w:val="auto"/>
                      <w:kern w:val="0"/>
                      <w:sz w:val="21"/>
                      <w:szCs w:val="21"/>
                      <w:lang w:val="en-US" w:eastAsia="zh-CN" w:bidi="ar"/>
                    </w:rPr>
                    <w:t>0.0203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827" w:type="pc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NH</w:t>
                  </w:r>
                  <w:r>
                    <w:rPr>
                      <w:rFonts w:ascii="Times New Roman" w:hAnsi="Times New Roman" w:cs="Times New Roman"/>
                      <w:color w:val="auto"/>
                      <w:sz w:val="21"/>
                      <w:szCs w:val="21"/>
                      <w:vertAlign w:val="subscript"/>
                    </w:rPr>
                    <w:t>3</w:t>
                  </w:r>
                  <w:r>
                    <w:rPr>
                      <w:rFonts w:ascii="Times New Roman" w:hAnsi="Times New Roman" w:cs="Times New Roman"/>
                      <w:color w:val="auto"/>
                      <w:sz w:val="21"/>
                      <w:szCs w:val="21"/>
                    </w:rPr>
                    <w:t>-N</w:t>
                  </w:r>
                </w:p>
              </w:tc>
              <w:tc>
                <w:tcPr>
                  <w:tcW w:w="1035" w:type="pct"/>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5</w:t>
                  </w:r>
                </w:p>
              </w:tc>
              <w:tc>
                <w:tcPr>
                  <w:tcW w:w="1014" w:type="pct"/>
                  <w:vAlign w:val="center"/>
                </w:tcPr>
                <w:p>
                  <w:pPr>
                    <w:widowControl/>
                    <w:spacing w:line="240" w:lineRule="auto"/>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kern w:val="0"/>
                      <w:sz w:val="21"/>
                      <w:szCs w:val="21"/>
                      <w:lang w:val="en-US" w:eastAsia="zh-CN" w:bidi="ar"/>
                    </w:rPr>
                    <w:t>0.00017</w:t>
                  </w:r>
                </w:p>
              </w:tc>
              <w:tc>
                <w:tcPr>
                  <w:tcW w:w="1303" w:type="pct"/>
                  <w:vAlign w:val="center"/>
                </w:tcPr>
                <w:p>
                  <w:pPr>
                    <w:widowControl/>
                    <w:spacing w:line="240" w:lineRule="auto"/>
                    <w:jc w:val="center"/>
                    <w:textAlignment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eastAsia="宋体" w:cs="Times New Roman"/>
                      <w:color w:val="auto"/>
                      <w:kern w:val="0"/>
                      <w:sz w:val="21"/>
                      <w:szCs w:val="21"/>
                      <w:lang w:val="en-US" w:eastAsia="zh-CN" w:bidi="ar"/>
                    </w:rPr>
                    <w:t>0.0102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restart"/>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全厂排放口合计</w:t>
                  </w:r>
                </w:p>
              </w:tc>
              <w:tc>
                <w:tcPr>
                  <w:tcW w:w="2877" w:type="pct"/>
                  <w:gridSpan w:val="3"/>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CODcr</w:t>
                  </w:r>
                </w:p>
              </w:tc>
              <w:tc>
                <w:tcPr>
                  <w:tcW w:w="2363" w:type="dxa"/>
                  <w:vAlign w:val="center"/>
                </w:tcPr>
                <w:p>
                  <w:pPr>
                    <w:widowControl/>
                    <w:spacing w:line="240" w:lineRule="auto"/>
                    <w:jc w:val="center"/>
                    <w:textAlignment w:val="center"/>
                    <w:rPr>
                      <w:rFonts w:ascii="Times New Roman" w:hAnsi="Times New Roman" w:cs="Times New Roman"/>
                      <w:color w:val="auto"/>
                      <w:sz w:val="21"/>
                      <w:szCs w:val="21"/>
                    </w:rPr>
                  </w:pPr>
                  <w:r>
                    <w:rPr>
                      <w:rFonts w:ascii="Times New Roman" w:hAnsi="Times New Roman" w:eastAsia="宋体" w:cs="Times New Roman"/>
                      <w:color w:val="auto"/>
                      <w:kern w:val="0"/>
                      <w:sz w:val="21"/>
                      <w:szCs w:val="21"/>
                      <w:lang w:bidi="ar"/>
                    </w:rPr>
                    <w:t>0.</w:t>
                  </w:r>
                  <w:r>
                    <w:rPr>
                      <w:rFonts w:hint="eastAsia" w:ascii="Times New Roman" w:hAnsi="Times New Roman" w:eastAsia="宋体" w:cs="Times New Roman"/>
                      <w:color w:val="auto"/>
                      <w:kern w:val="0"/>
                      <w:sz w:val="21"/>
                      <w:szCs w:val="21"/>
                      <w:lang w:val="en-US" w:eastAsia="zh-CN" w:bidi="ar"/>
                    </w:rPr>
                    <w:t>1016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2877" w:type="pct"/>
                  <w:gridSpan w:val="3"/>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SS</w:t>
                  </w:r>
                </w:p>
              </w:tc>
              <w:tc>
                <w:tcPr>
                  <w:tcW w:w="2363" w:type="dxa"/>
                  <w:vAlign w:val="center"/>
                </w:tcPr>
                <w:p>
                  <w:pPr>
                    <w:widowControl/>
                    <w:spacing w:line="240" w:lineRule="auto"/>
                    <w:jc w:val="center"/>
                    <w:textAlignment w:val="center"/>
                    <w:rPr>
                      <w:rFonts w:ascii="Times New Roman" w:hAnsi="Times New Roman" w:cs="Times New Roman"/>
                      <w:color w:val="auto"/>
                      <w:sz w:val="21"/>
                      <w:szCs w:val="21"/>
                    </w:rPr>
                  </w:pPr>
                  <w:r>
                    <w:rPr>
                      <w:rFonts w:hint="eastAsia" w:ascii="Times New Roman" w:hAnsi="Times New Roman" w:eastAsia="宋体" w:cs="Times New Roman"/>
                      <w:color w:val="auto"/>
                      <w:kern w:val="0"/>
                      <w:sz w:val="21"/>
                      <w:szCs w:val="21"/>
                      <w:lang w:val="en-US" w:eastAsia="zh-CN" w:bidi="ar"/>
                    </w:rPr>
                    <w:t>0.0203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continue"/>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2877" w:type="pct"/>
                  <w:gridSpan w:val="3"/>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NH</w:t>
                  </w:r>
                  <w:r>
                    <w:rPr>
                      <w:rFonts w:ascii="Times New Roman" w:hAnsi="Times New Roman" w:cs="Times New Roman"/>
                      <w:color w:val="auto"/>
                      <w:sz w:val="21"/>
                      <w:szCs w:val="21"/>
                      <w:vertAlign w:val="subscript"/>
                    </w:rPr>
                    <w:t>3</w:t>
                  </w:r>
                  <w:r>
                    <w:rPr>
                      <w:rFonts w:ascii="Times New Roman" w:hAnsi="Times New Roman" w:cs="Times New Roman"/>
                      <w:color w:val="auto"/>
                      <w:sz w:val="21"/>
                      <w:szCs w:val="21"/>
                    </w:rPr>
                    <w:t>-N</w:t>
                  </w:r>
                </w:p>
              </w:tc>
              <w:tc>
                <w:tcPr>
                  <w:tcW w:w="2363" w:type="dxa"/>
                  <w:vAlign w:val="center"/>
                </w:tcPr>
                <w:p>
                  <w:pPr>
                    <w:widowControl/>
                    <w:spacing w:line="240" w:lineRule="auto"/>
                    <w:jc w:val="center"/>
                    <w:textAlignment w:val="center"/>
                    <w:rPr>
                      <w:rFonts w:ascii="Times New Roman" w:hAnsi="Times New Roman" w:cs="Times New Roman"/>
                      <w:color w:val="auto"/>
                      <w:sz w:val="21"/>
                      <w:szCs w:val="21"/>
                    </w:rPr>
                  </w:pPr>
                  <w:r>
                    <w:rPr>
                      <w:rFonts w:hint="eastAsia" w:ascii="Times New Roman" w:hAnsi="Times New Roman" w:eastAsia="宋体" w:cs="Times New Roman"/>
                      <w:color w:val="auto"/>
                      <w:kern w:val="0"/>
                      <w:sz w:val="21"/>
                      <w:szCs w:val="21"/>
                      <w:lang w:val="en-US" w:eastAsia="zh-CN" w:bidi="ar"/>
                    </w:rPr>
                    <w:t>0.0102</w:t>
                  </w:r>
                </w:p>
              </w:tc>
            </w:tr>
          </w:tbl>
          <w:p>
            <w:pPr>
              <w:pStyle w:val="6"/>
              <w:ind w:firstLine="482"/>
              <w:outlineLvl w:val="2"/>
              <w:rPr>
                <w:color w:val="auto"/>
              </w:rPr>
            </w:pPr>
            <w:r>
              <w:rPr>
                <w:rFonts w:hint="eastAsia"/>
                <w:color w:val="auto"/>
              </w:rPr>
              <w:t>2.2大气环境影响分析</w:t>
            </w:r>
          </w:p>
          <w:p>
            <w:pPr>
              <w:ind w:firstLine="480" w:firstLineChars="200"/>
              <w:rPr>
                <w:rFonts w:ascii="Times New Roman" w:hAnsi="Times New Roman" w:cs="Times New Roman"/>
                <w:color w:val="auto"/>
              </w:rPr>
            </w:pPr>
            <w:r>
              <w:rPr>
                <w:rFonts w:ascii="Times New Roman" w:hAnsi="Times New Roman" w:cs="Times New Roman"/>
                <w:color w:val="auto"/>
              </w:rPr>
              <w:t>本项目生产期间产生的废气主要为天然气锅炉的燃烧废气，其中燃烧废气经</w:t>
            </w:r>
            <w:r>
              <w:rPr>
                <w:rFonts w:hint="eastAsia" w:ascii="Times New Roman" w:hAnsi="Times New Roman" w:cs="Times New Roman"/>
                <w:color w:val="auto"/>
              </w:rPr>
              <w:t>分体式</w:t>
            </w:r>
            <w:r>
              <w:rPr>
                <w:rFonts w:ascii="Times New Roman" w:hAnsi="Times New Roman" w:cs="Times New Roman"/>
                <w:color w:val="auto"/>
              </w:rPr>
              <w:t>低氮燃烧器</w:t>
            </w:r>
            <w:r>
              <w:rPr>
                <w:rFonts w:hint="eastAsia" w:ascii="Times New Roman" w:hAnsi="Times New Roman" w:cs="Times New Roman"/>
                <w:color w:val="auto"/>
              </w:rPr>
              <w:t>和</w:t>
            </w:r>
            <w:r>
              <w:rPr>
                <w:rFonts w:ascii="Times New Roman" w:hAnsi="Times New Roman" w:cs="Times New Roman"/>
                <w:color w:val="auto"/>
              </w:rPr>
              <w:t>烟气再循环技术处理后</w:t>
            </w:r>
            <w:r>
              <w:rPr>
                <w:rFonts w:hint="eastAsia" w:ascii="Times New Roman" w:hAnsi="Times New Roman" w:cs="Times New Roman"/>
                <w:color w:val="auto"/>
                <w:lang w:eastAsia="zh-CN"/>
              </w:rPr>
              <w:t>由</w:t>
            </w:r>
            <w:r>
              <w:rPr>
                <w:rFonts w:hint="eastAsia" w:ascii="Times New Roman" w:hAnsi="Times New Roman" w:cs="Times New Roman"/>
                <w:color w:val="auto"/>
              </w:rPr>
              <w:t>2</w:t>
            </w:r>
            <w:r>
              <w:rPr>
                <w:rFonts w:hint="eastAsia" w:ascii="Times New Roman" w:hAnsi="Times New Roman" w:cs="Times New Roman"/>
                <w:color w:val="auto"/>
                <w:lang w:val="en-US" w:eastAsia="zh-CN"/>
              </w:rPr>
              <w:t>3</w:t>
            </w:r>
            <w:r>
              <w:rPr>
                <w:rFonts w:ascii="Times New Roman" w:hAnsi="Times New Roman" w:cs="Times New Roman"/>
                <w:color w:val="auto"/>
              </w:rPr>
              <w:t>m排气筒有组织排放。</w:t>
            </w:r>
          </w:p>
          <w:p>
            <w:pPr>
              <w:ind w:firstLine="480" w:firstLineChars="200"/>
              <w:rPr>
                <w:rFonts w:ascii="Times New Roman" w:hAnsi="Times New Roman" w:cs="Times New Roman"/>
                <w:color w:val="auto"/>
              </w:rPr>
            </w:pPr>
            <w:r>
              <w:rPr>
                <w:rFonts w:ascii="Times New Roman" w:hAnsi="Times New Roman" w:cs="Times New Roman"/>
                <w:color w:val="auto"/>
              </w:rPr>
              <w:pict>
                <v:shape id="_x0000_s1028" o:spid="_x0000_s1028" o:spt="75" type="#_x0000_t75" style="position:absolute;left:0pt;margin-left:185.7pt;margin-top:33.75pt;height:37.3pt;width:94.4pt;mso-wrap-distance-bottom:0pt;mso-wrap-distance-top:0pt;z-index:251660288;mso-width-relative:page;mso-height-relative:page;" o:ole="t" filled="f" o:preferrelative="t" stroked="f" coordsize="21600,21600">
                  <v:path/>
                  <v:fill on="f" focussize="0,0"/>
                  <v:stroke on="f" joinstyle="miter"/>
                  <v:imagedata r:id="rId15" o:title=""/>
                  <o:lock v:ext="edit" aspectratio="t"/>
                  <w10:wrap type="topAndBottom"/>
                </v:shape>
                <o:OLEObject Type="Embed" ProgID="Equation.3" ShapeID="_x0000_s1028" DrawAspect="Content" ObjectID="_1468075728" r:id="rId14">
                  <o:LockedField>false</o:LockedField>
                </o:OLEObject>
              </w:pict>
            </w:r>
            <w:r>
              <w:rPr>
                <w:rFonts w:ascii="Times New Roman" w:hAnsi="Times New Roman" w:cs="Times New Roman"/>
                <w:color w:val="auto"/>
              </w:rPr>
              <w:t>2.2.1大气环境影响及污染防治措施分析</w:t>
            </w:r>
          </w:p>
          <w:p>
            <w:pPr>
              <w:ind w:firstLine="480" w:firstLineChars="200"/>
              <w:rPr>
                <w:rFonts w:ascii="Times New Roman" w:hAnsi="Times New Roman" w:cs="Times New Roman"/>
                <w:color w:val="auto"/>
              </w:rPr>
            </w:pPr>
            <w:r>
              <w:rPr>
                <w:rFonts w:ascii="Times New Roman" w:hAnsi="Times New Roman" w:cs="Times New Roman"/>
                <w:color w:val="auto"/>
              </w:rPr>
              <w:t>（1）大气污染物预测分析</w:t>
            </w:r>
          </w:p>
          <w:p>
            <w:pPr>
              <w:ind w:firstLine="480" w:firstLineChars="200"/>
              <w:rPr>
                <w:rFonts w:ascii="Times New Roman" w:hAnsi="Times New Roman" w:cs="Times New Roman"/>
                <w:color w:val="auto"/>
              </w:rPr>
            </w:pPr>
            <w:r>
              <w:rPr>
                <w:rFonts w:ascii="Times New Roman" w:hAnsi="Times New Roman" w:cs="Times New Roman"/>
                <w:color w:val="auto"/>
              </w:rPr>
              <w:t>按《环境影响评价技术导则 大气环境》（HJ2.2-2018），分别计算本项目排放主要污染物的最大地面空气质量浓度占标率Pi（第i个污染物，简称“最大浓度占标率”）及第i个污染物的地面空气质量浓度达到标准值10%时所对应的最远距离D10%。其中Pi定义为：</w:t>
            </w:r>
          </w:p>
          <w:p>
            <w:pPr>
              <w:ind w:firstLine="480" w:firstLineChars="200"/>
              <w:rPr>
                <w:rFonts w:ascii="Times New Roman" w:hAnsi="Times New Roman" w:cs="Times New Roman"/>
                <w:color w:val="auto"/>
              </w:rPr>
            </w:pPr>
            <w:r>
              <w:rPr>
                <w:rFonts w:ascii="Times New Roman" w:hAnsi="Times New Roman" w:cs="Times New Roman"/>
                <w:color w:val="auto"/>
              </w:rPr>
              <w:t>式中：Pi——第i个污染物的最大地面空气质量浓度占标率，%；</w:t>
            </w:r>
          </w:p>
          <w:p>
            <w:pPr>
              <w:ind w:firstLine="480" w:firstLineChars="200"/>
              <w:rPr>
                <w:rFonts w:ascii="Times New Roman" w:hAnsi="Times New Roman" w:cs="Times New Roman"/>
                <w:color w:val="auto"/>
              </w:rPr>
            </w:pPr>
            <w:r>
              <w:rPr>
                <w:rFonts w:ascii="Times New Roman" w:hAnsi="Times New Roman" w:cs="Times New Roman"/>
                <w:color w:val="auto"/>
              </w:rPr>
              <w:t>Ci——采用估算模型计算出的第i个污染物的最大1h地面空气质量浓度，μg/m3</w:t>
            </w:r>
          </w:p>
          <w:p>
            <w:pPr>
              <w:ind w:firstLine="480" w:firstLineChars="200"/>
              <w:rPr>
                <w:rFonts w:ascii="Times New Roman" w:hAnsi="Times New Roman" w:cs="Times New Roman"/>
                <w:color w:val="auto"/>
              </w:rPr>
            </w:pPr>
            <w:r>
              <w:rPr>
                <w:rFonts w:ascii="Times New Roman" w:hAnsi="Times New Roman" w:cs="Times New Roman"/>
                <w:color w:val="auto"/>
              </w:rPr>
              <w:t>C0i——第i个污染物的环境空气质量浓度标准，μg/m3。对仅有8h平均质量浓度限值、日平均质量浓度限值或年平均质量浓度限值的，可分别按2倍、3倍、6倍折算为1h平均质量浓度限值。</w:t>
            </w:r>
          </w:p>
          <w:p>
            <w:pPr>
              <w:ind w:firstLine="480" w:firstLineChars="200"/>
              <w:rPr>
                <w:rFonts w:ascii="Times New Roman" w:hAnsi="Times New Roman" w:cs="Times New Roman"/>
                <w:color w:val="auto"/>
              </w:rPr>
            </w:pPr>
            <w:r>
              <w:rPr>
                <w:rFonts w:ascii="Times New Roman" w:hAnsi="Times New Roman" w:cs="Times New Roman"/>
                <w:color w:val="auto"/>
              </w:rPr>
              <w:t>《环境影响评价技术导则 大气环境》（HJ/2.2-2018）的大气评价工作分级依据见表7-</w:t>
            </w:r>
            <w:r>
              <w:rPr>
                <w:rFonts w:hint="eastAsia" w:ascii="Times New Roman" w:hAnsi="Times New Roman" w:cs="Times New Roman"/>
                <w:color w:val="auto"/>
              </w:rPr>
              <w:t>4</w:t>
            </w:r>
            <w:r>
              <w:rPr>
                <w:rFonts w:ascii="Times New Roman" w:hAnsi="Times New Roman" w:cs="Times New Roman"/>
                <w:color w:val="auto"/>
              </w:rPr>
              <w:t>。</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表7</w:t>
            </w:r>
            <w:r>
              <w:rPr>
                <w:rFonts w:hint="eastAsia" w:ascii="Times New Roman" w:hAnsi="Times New Roman" w:cs="Times New Roman"/>
                <w:b/>
                <w:bCs/>
                <w:color w:val="auto"/>
              </w:rPr>
              <w:t>-4</w:t>
            </w:r>
            <w:r>
              <w:rPr>
                <w:rFonts w:ascii="Times New Roman" w:hAnsi="Times New Roman" w:cs="Times New Roman"/>
                <w:b/>
                <w:bCs/>
                <w:color w:val="auto"/>
              </w:rPr>
              <w:t xml:space="preserve">  评价等级判别度</w:t>
            </w:r>
          </w:p>
          <w:tbl>
            <w:tblPr>
              <w:tblStyle w:val="18"/>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3023"/>
              <w:gridCol w:w="604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bottom w:val="single" w:color="auto" w:sz="12" w:space="0"/>
                  </w:tcBorders>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评价工作等级</w:t>
                  </w:r>
                </w:p>
              </w:tc>
              <w:tc>
                <w:tcPr>
                  <w:tcW w:w="6047" w:type="dxa"/>
                  <w:tcBorders>
                    <w:bottom w:val="single" w:color="auto" w:sz="12" w:space="0"/>
                  </w:tcBorders>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评价工作分级判据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top w:val="single" w:color="auto" w:sz="12" w:space="0"/>
                    <w:tl2br w:val="nil"/>
                    <w:tr2bl w:val="nil"/>
                  </w:tcBorders>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一级</w:t>
                  </w:r>
                </w:p>
              </w:tc>
              <w:tc>
                <w:tcPr>
                  <w:tcW w:w="6047" w:type="dxa"/>
                  <w:tcBorders>
                    <w:top w:val="single" w:color="auto" w:sz="12" w:space="0"/>
                    <w:tl2br w:val="nil"/>
                    <w:tr2bl w:val="nil"/>
                  </w:tcBorders>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Pmax ≥ 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tl2br w:val="nil"/>
                    <w:tr2bl w:val="nil"/>
                  </w:tcBorders>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二级</w:t>
                  </w:r>
                </w:p>
              </w:tc>
              <w:tc>
                <w:tcPr>
                  <w:tcW w:w="6047" w:type="dxa"/>
                  <w:tcBorders>
                    <w:tl2br w:val="nil"/>
                    <w:tr2bl w:val="nil"/>
                  </w:tcBorders>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1≤Pmax﹤10%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tl2br w:val="nil"/>
                    <w:tr2bl w:val="nil"/>
                  </w:tcBorders>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三级</w:t>
                  </w:r>
                </w:p>
              </w:tc>
              <w:tc>
                <w:tcPr>
                  <w:tcW w:w="6047" w:type="dxa"/>
                  <w:tcBorders>
                    <w:tl2br w:val="nil"/>
                    <w:tr2bl w:val="nil"/>
                  </w:tcBorders>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Pmax﹤1%</w:t>
                  </w:r>
                </w:p>
              </w:tc>
            </w:tr>
          </w:tbl>
          <w:p>
            <w:pPr>
              <w:spacing w:line="360" w:lineRule="auto"/>
              <w:ind w:firstLine="480" w:firstLineChars="200"/>
              <w:rPr>
                <w:rFonts w:ascii="Times New Roman" w:hAnsi="Times New Roman" w:cs="Times New Roman"/>
                <w:color w:val="auto"/>
              </w:rPr>
            </w:pPr>
            <w:r>
              <w:rPr>
                <w:rFonts w:ascii="Times New Roman" w:hAnsi="Times New Roman" w:cs="Times New Roman"/>
                <w:color w:val="auto"/>
              </w:rPr>
              <w:t>本次评价使用《环境影响评价技术导则 大气环境》（HJ/2.2-2018）中推荐的估算模型AERSCREEN，判定运营期大气环境影响评价等级，评价选取</w:t>
            </w:r>
            <w:r>
              <w:rPr>
                <w:rFonts w:hint="eastAsia" w:ascii="Times New Roman" w:hAnsi="Times New Roman" w:cs="Times New Roman"/>
                <w:color w:val="auto"/>
                <w:lang w:val="en-US" w:eastAsia="zh-CN"/>
              </w:rPr>
              <w:t>PM</w:t>
            </w:r>
            <w:r>
              <w:rPr>
                <w:rFonts w:hint="eastAsia" w:ascii="Times New Roman" w:hAnsi="Times New Roman" w:cs="Times New Roman"/>
                <w:color w:val="auto"/>
                <w:vertAlign w:val="subscript"/>
                <w:lang w:val="en-US" w:eastAsia="zh-CN"/>
              </w:rPr>
              <w:t>10</w:t>
            </w:r>
            <w:r>
              <w:rPr>
                <w:rFonts w:ascii="Times New Roman" w:hAnsi="Times New Roman" w:cs="Times New Roman"/>
                <w:color w:val="auto"/>
              </w:rPr>
              <w:t>、</w:t>
            </w:r>
            <w:r>
              <w:rPr>
                <w:rFonts w:hint="eastAsia" w:ascii="Times New Roman" w:hAnsi="Times New Roman" w:cs="Times New Roman"/>
                <w:color w:val="auto"/>
              </w:rPr>
              <w:t>NO</w:t>
            </w:r>
            <w:r>
              <w:rPr>
                <w:rFonts w:hint="eastAsia" w:ascii="Times New Roman" w:hAnsi="Times New Roman" w:cs="Times New Roman"/>
                <w:color w:val="auto"/>
                <w:vertAlign w:val="subscript"/>
              </w:rPr>
              <w:t>X</w:t>
            </w:r>
            <w:r>
              <w:rPr>
                <w:rFonts w:ascii="Times New Roman" w:hAnsi="Times New Roman" w:cs="Times New Roman"/>
                <w:color w:val="auto"/>
              </w:rPr>
              <w:t>、</w:t>
            </w:r>
            <w:r>
              <w:rPr>
                <w:rFonts w:hint="eastAsia" w:ascii="Times New Roman" w:hAnsi="Times New Roman" w:cs="Times New Roman"/>
                <w:color w:val="auto"/>
              </w:rPr>
              <w:t>SO</w:t>
            </w:r>
            <w:r>
              <w:rPr>
                <w:rFonts w:hint="eastAsia" w:ascii="Times New Roman" w:hAnsi="Times New Roman" w:cs="Times New Roman"/>
                <w:color w:val="auto"/>
                <w:vertAlign w:val="subscript"/>
              </w:rPr>
              <w:t>2</w:t>
            </w:r>
            <w:r>
              <w:rPr>
                <w:rFonts w:ascii="Times New Roman" w:hAnsi="Times New Roman" w:cs="Times New Roman"/>
                <w:color w:val="auto"/>
              </w:rPr>
              <w:t>作为预测因子。</w:t>
            </w:r>
          </w:p>
          <w:p>
            <w:pPr>
              <w:pStyle w:val="29"/>
              <w:ind w:firstLine="482"/>
              <w:rPr>
                <w:rFonts w:ascii="Times New Roman" w:hAnsi="Times New Roman" w:cs="Times New Roman"/>
                <w:b/>
                <w:bCs/>
                <w:color w:val="auto"/>
              </w:rPr>
            </w:pPr>
            <w:r>
              <w:rPr>
                <w:rFonts w:ascii="Times New Roman" w:hAnsi="Times New Roman" w:cs="Times New Roman"/>
                <w:b/>
                <w:bCs/>
                <w:color w:val="auto"/>
              </w:rPr>
              <w:t>有组织排放：</w:t>
            </w:r>
          </w:p>
          <w:p>
            <w:pPr>
              <w:ind w:firstLine="480" w:firstLineChars="200"/>
              <w:rPr>
                <w:rFonts w:ascii="Times New Roman" w:hAnsi="Times New Roman" w:cs="Times New Roman"/>
                <w:color w:val="auto"/>
              </w:rPr>
            </w:pPr>
            <w:r>
              <w:rPr>
                <w:rFonts w:ascii="Times New Roman" w:hAnsi="Times New Roman" w:cs="Times New Roman"/>
                <w:color w:val="auto"/>
              </w:rPr>
              <w:t>本评价采用《环境影响评价技术导则—大气环境》（HJ2.2-2018）推荐的估算模式AERSCREEN模型预测项目产生的</w:t>
            </w:r>
            <w:r>
              <w:rPr>
                <w:rFonts w:hint="eastAsia" w:ascii="Times New Roman" w:hAnsi="Times New Roman" w:cs="Times New Roman"/>
                <w:color w:val="auto"/>
              </w:rPr>
              <w:t>颗粒物、NOx、SO</w:t>
            </w:r>
            <w:r>
              <w:rPr>
                <w:rFonts w:hint="eastAsia" w:ascii="Times New Roman" w:hAnsi="Times New Roman" w:cs="Times New Roman"/>
                <w:color w:val="auto"/>
                <w:vertAlign w:val="subscript"/>
              </w:rPr>
              <w:t>2</w:t>
            </w:r>
            <w:r>
              <w:rPr>
                <w:rFonts w:ascii="Times New Roman" w:hAnsi="Times New Roman" w:cs="Times New Roman"/>
                <w:color w:val="auto"/>
              </w:rPr>
              <w:t>对周边环境影响进行预测，</w:t>
            </w:r>
            <w:r>
              <w:rPr>
                <w:rFonts w:hint="eastAsia" w:ascii="Times New Roman" w:hAnsi="Times New Roman" w:cs="Times New Roman"/>
                <w:color w:val="auto"/>
              </w:rPr>
              <w:t>项目点</w:t>
            </w:r>
            <w:r>
              <w:rPr>
                <w:rFonts w:ascii="Times New Roman" w:hAnsi="Times New Roman" w:cs="Times New Roman"/>
                <w:color w:val="auto"/>
              </w:rPr>
              <w:t>源参数</w:t>
            </w:r>
            <w:r>
              <w:rPr>
                <w:rFonts w:hint="eastAsia" w:ascii="Times New Roman" w:hAnsi="Times New Roman" w:cs="Times New Roman"/>
                <w:color w:val="auto"/>
              </w:rPr>
              <w:t>及估算模型参数</w:t>
            </w:r>
            <w:r>
              <w:rPr>
                <w:rFonts w:ascii="Times New Roman" w:hAnsi="Times New Roman" w:cs="Times New Roman"/>
                <w:color w:val="auto"/>
              </w:rPr>
              <w:t>如下表所示：</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表7-</w:t>
            </w:r>
            <w:r>
              <w:rPr>
                <w:rFonts w:hint="eastAsia" w:ascii="Times New Roman" w:hAnsi="Times New Roman" w:cs="Times New Roman"/>
                <w:b/>
                <w:bCs/>
                <w:color w:val="auto"/>
              </w:rPr>
              <w:t>5</w:t>
            </w:r>
            <w:r>
              <w:rPr>
                <w:rFonts w:ascii="Times New Roman" w:hAnsi="Times New Roman" w:cs="Times New Roman"/>
                <w:b/>
                <w:bCs/>
                <w:color w:val="auto"/>
              </w:rPr>
              <w:t xml:space="preserve">  </w:t>
            </w:r>
            <w:r>
              <w:rPr>
                <w:rFonts w:hint="eastAsia" w:ascii="Times New Roman" w:hAnsi="Times New Roman" w:cs="Times New Roman"/>
                <w:b/>
                <w:bCs/>
                <w:color w:val="auto"/>
              </w:rPr>
              <w:t>项目点源</w:t>
            </w:r>
            <w:r>
              <w:rPr>
                <w:rFonts w:ascii="Times New Roman" w:hAnsi="Times New Roman" w:cs="Times New Roman"/>
                <w:b/>
                <w:bCs/>
                <w:color w:val="auto"/>
              </w:rPr>
              <w:t>参数</w:t>
            </w:r>
          </w:p>
          <w:tbl>
            <w:tblPr>
              <w:tblStyle w:val="17"/>
              <w:tblW w:w="9070" w:type="dxa"/>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728"/>
              <w:gridCol w:w="934"/>
              <w:gridCol w:w="994"/>
              <w:gridCol w:w="1059"/>
              <w:gridCol w:w="813"/>
              <w:gridCol w:w="813"/>
              <w:gridCol w:w="953"/>
              <w:gridCol w:w="849"/>
              <w:gridCol w:w="864"/>
              <w:gridCol w:w="1063"/>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7" w:hRule="atLeast"/>
                <w:jc w:val="center"/>
              </w:trPr>
              <w:tc>
                <w:tcPr>
                  <w:tcW w:w="728" w:type="dxa"/>
                  <w:vMerge w:val="restart"/>
                  <w:tcBorders>
                    <w:bottom w:val="single" w:color="000000" w:sz="12" w:space="0"/>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污染源名称</w:t>
                  </w:r>
                </w:p>
              </w:tc>
              <w:tc>
                <w:tcPr>
                  <w:tcW w:w="1928" w:type="dxa"/>
                  <w:gridSpan w:val="2"/>
                  <w:tcBorders>
                    <w:bottom w:val="single" w:color="000000" w:sz="4" w:space="0"/>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排气筒底部中心坐标</w:t>
                  </w:r>
                </w:p>
              </w:tc>
              <w:tc>
                <w:tcPr>
                  <w:tcW w:w="1059" w:type="dxa"/>
                  <w:vMerge w:val="restart"/>
                  <w:tcBorders>
                    <w:bottom w:val="single" w:color="000000" w:sz="4" w:space="0"/>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排气筒底部海拔高度（m）</w:t>
                  </w:r>
                </w:p>
              </w:tc>
              <w:tc>
                <w:tcPr>
                  <w:tcW w:w="3428" w:type="dxa"/>
                  <w:gridSpan w:val="4"/>
                  <w:tcBorders>
                    <w:bottom w:val="single" w:color="000000" w:sz="4" w:space="0"/>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排气筒参数</w:t>
                  </w:r>
                </w:p>
              </w:tc>
              <w:tc>
                <w:tcPr>
                  <w:tcW w:w="864" w:type="dxa"/>
                  <w:vMerge w:val="restart"/>
                  <w:tcBorders>
                    <w:bottom w:val="single" w:color="000000" w:sz="12" w:space="0"/>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污染物名称</w:t>
                  </w:r>
                </w:p>
              </w:tc>
              <w:tc>
                <w:tcPr>
                  <w:tcW w:w="1063" w:type="dxa"/>
                  <w:vMerge w:val="restart"/>
                  <w:tcBorders>
                    <w:bottom w:val="single" w:color="000000" w:sz="12" w:space="0"/>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排放速率（kg/h）</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7" w:hRule="atLeast"/>
                <w:jc w:val="center"/>
              </w:trPr>
              <w:tc>
                <w:tcPr>
                  <w:tcW w:w="728" w:type="dxa"/>
                  <w:vMerge w:val="continue"/>
                  <w:tcBorders>
                    <w:top w:val="single" w:color="000000" w:sz="12" w:space="0"/>
                    <w:bottom w:val="single" w:color="000000" w:sz="12" w:space="0"/>
                    <w:tl2br w:val="nil"/>
                    <w:tr2bl w:val="nil"/>
                  </w:tcBorders>
                  <w:vAlign w:val="center"/>
                </w:tcPr>
                <w:p>
                  <w:pPr>
                    <w:spacing w:line="240" w:lineRule="auto"/>
                    <w:jc w:val="center"/>
                    <w:rPr>
                      <w:rFonts w:ascii="Times New Roman" w:hAnsi="Times New Roman" w:cs="Times New Roman"/>
                      <w:color w:val="auto"/>
                      <w:sz w:val="21"/>
                      <w:szCs w:val="21"/>
                    </w:rPr>
                  </w:pPr>
                </w:p>
              </w:tc>
              <w:tc>
                <w:tcPr>
                  <w:tcW w:w="934" w:type="dxa"/>
                  <w:tcBorders>
                    <w:top w:val="single" w:color="000000" w:sz="4" w:space="0"/>
                    <w:bottom w:val="single" w:color="000000" w:sz="12" w:space="0"/>
                    <w:tl2br w:val="nil"/>
                    <w:tr2bl w:val="nil"/>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经度</w:t>
                  </w:r>
                </w:p>
              </w:tc>
              <w:tc>
                <w:tcPr>
                  <w:tcW w:w="994" w:type="dxa"/>
                  <w:tcBorders>
                    <w:top w:val="single" w:color="000000" w:sz="4" w:space="0"/>
                    <w:bottom w:val="single" w:color="000000" w:sz="12" w:space="0"/>
                    <w:tl2br w:val="nil"/>
                    <w:tr2bl w:val="nil"/>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纬度</w:t>
                  </w:r>
                </w:p>
              </w:tc>
              <w:tc>
                <w:tcPr>
                  <w:tcW w:w="1059" w:type="dxa"/>
                  <w:vMerge w:val="continue"/>
                  <w:tcBorders>
                    <w:top w:val="single" w:color="000000" w:sz="4" w:space="0"/>
                    <w:bottom w:val="single" w:color="000000" w:sz="12" w:space="0"/>
                    <w:tl2br w:val="nil"/>
                    <w:tr2bl w:val="nil"/>
                  </w:tcBorders>
                  <w:vAlign w:val="center"/>
                </w:tcPr>
                <w:p>
                  <w:pPr>
                    <w:spacing w:line="240" w:lineRule="auto"/>
                    <w:jc w:val="center"/>
                    <w:rPr>
                      <w:rFonts w:ascii="Times New Roman" w:hAnsi="Times New Roman" w:cs="Times New Roman"/>
                      <w:b/>
                      <w:bCs/>
                      <w:color w:val="auto"/>
                      <w:kern w:val="0"/>
                      <w:sz w:val="21"/>
                      <w:szCs w:val="21"/>
                    </w:rPr>
                  </w:pPr>
                </w:p>
              </w:tc>
              <w:tc>
                <w:tcPr>
                  <w:tcW w:w="813" w:type="dxa"/>
                  <w:tcBorders>
                    <w:top w:val="single" w:color="000000" w:sz="4" w:space="0"/>
                    <w:bottom w:val="single" w:color="000000" w:sz="12" w:space="0"/>
                    <w:tl2br w:val="nil"/>
                    <w:tr2bl w:val="nil"/>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高度（m）</w:t>
                  </w:r>
                </w:p>
              </w:tc>
              <w:tc>
                <w:tcPr>
                  <w:tcW w:w="813" w:type="dxa"/>
                  <w:tcBorders>
                    <w:top w:val="single" w:color="000000" w:sz="4" w:space="0"/>
                    <w:bottom w:val="single" w:color="000000" w:sz="12" w:space="0"/>
                    <w:tl2br w:val="nil"/>
                    <w:tr2bl w:val="nil"/>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内径（m）</w:t>
                  </w:r>
                </w:p>
              </w:tc>
              <w:tc>
                <w:tcPr>
                  <w:tcW w:w="953" w:type="dxa"/>
                  <w:tcBorders>
                    <w:top w:val="single" w:color="000000" w:sz="4" w:space="0"/>
                    <w:bottom w:val="single" w:color="000000" w:sz="12" w:space="0"/>
                    <w:tl2br w:val="nil"/>
                    <w:tr2bl w:val="nil"/>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流速（m/s）</w:t>
                  </w:r>
                </w:p>
              </w:tc>
              <w:tc>
                <w:tcPr>
                  <w:tcW w:w="849" w:type="dxa"/>
                  <w:tcBorders>
                    <w:top w:val="single" w:color="000000" w:sz="4" w:space="0"/>
                    <w:bottom w:val="single" w:color="000000" w:sz="12" w:space="0"/>
                    <w:tl2br w:val="nil"/>
                    <w:tr2bl w:val="nil"/>
                  </w:tcBorders>
                  <w:vAlign w:val="center"/>
                </w:tcPr>
                <w:p>
                  <w:pPr>
                    <w:spacing w:line="240" w:lineRule="auto"/>
                    <w:jc w:val="center"/>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温度（℃）</w:t>
                  </w:r>
                </w:p>
              </w:tc>
              <w:tc>
                <w:tcPr>
                  <w:tcW w:w="864" w:type="dxa"/>
                  <w:vMerge w:val="continue"/>
                  <w:tcBorders>
                    <w:top w:val="single" w:color="000000" w:sz="12" w:space="0"/>
                    <w:bottom w:val="single" w:color="000000" w:sz="12" w:space="0"/>
                    <w:tl2br w:val="nil"/>
                    <w:tr2bl w:val="nil"/>
                  </w:tcBorders>
                  <w:vAlign w:val="center"/>
                </w:tcPr>
                <w:p>
                  <w:pPr>
                    <w:spacing w:line="240" w:lineRule="auto"/>
                    <w:jc w:val="center"/>
                    <w:rPr>
                      <w:rFonts w:ascii="Times New Roman" w:hAnsi="Times New Roman" w:cs="Times New Roman"/>
                      <w:color w:val="auto"/>
                      <w:kern w:val="0"/>
                      <w:sz w:val="21"/>
                      <w:szCs w:val="21"/>
                    </w:rPr>
                  </w:pPr>
                </w:p>
              </w:tc>
              <w:tc>
                <w:tcPr>
                  <w:tcW w:w="1063" w:type="dxa"/>
                  <w:vMerge w:val="continue"/>
                  <w:tcBorders>
                    <w:top w:val="single" w:color="000000" w:sz="12" w:space="0"/>
                    <w:bottom w:val="single" w:color="000000" w:sz="12" w:space="0"/>
                    <w:tl2br w:val="nil"/>
                    <w:tr2bl w:val="nil"/>
                  </w:tcBorders>
                  <w:vAlign w:val="center"/>
                </w:tcPr>
                <w:p>
                  <w:pPr>
                    <w:spacing w:line="240" w:lineRule="auto"/>
                    <w:jc w:val="center"/>
                    <w:rPr>
                      <w:rFonts w:ascii="Times New Roman" w:hAnsi="Times New Roman" w:cs="Times New Roman"/>
                      <w:color w:val="auto"/>
                      <w:kern w:val="0"/>
                      <w:sz w:val="21"/>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28" w:type="dxa"/>
                  <w:vMerge w:val="restart"/>
                  <w:tcBorders>
                    <w:top w:val="single" w:color="000000" w:sz="12" w:space="0"/>
                  </w:tcBorders>
                  <w:vAlign w:val="center"/>
                </w:tcPr>
                <w:p>
                  <w:pPr>
                    <w:spacing w:line="240" w:lineRule="auto"/>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点源</w:t>
                  </w:r>
                </w:p>
              </w:tc>
              <w:tc>
                <w:tcPr>
                  <w:tcW w:w="934" w:type="dxa"/>
                  <w:vMerge w:val="restart"/>
                  <w:tcBorders>
                    <w:top w:val="single" w:color="000000" w:sz="12" w:space="0"/>
                  </w:tcBorders>
                  <w:vAlign w:val="center"/>
                </w:tcPr>
                <w:p>
                  <w:pPr>
                    <w:spacing w:line="240" w:lineRule="auto"/>
                    <w:jc w:val="center"/>
                    <w:rPr>
                      <w:rFonts w:ascii="Times New Roman" w:hAnsi="Times New Roman" w:cs="Times New Roman"/>
                      <w:color w:val="auto"/>
                      <w:kern w:val="0"/>
                      <w:sz w:val="21"/>
                      <w:szCs w:val="21"/>
                    </w:rPr>
                  </w:pPr>
                  <w:r>
                    <w:rPr>
                      <w:rFonts w:ascii="Times New Roman" w:hAnsi="Times New Roman" w:cs="Times New Roman"/>
                      <w:color w:val="auto"/>
                      <w:sz w:val="21"/>
                      <w:szCs w:val="21"/>
                    </w:rPr>
                    <w:t xml:space="preserve">113 ° </w:t>
                  </w:r>
                  <w:r>
                    <w:rPr>
                      <w:rFonts w:hint="eastAsia" w:ascii="Times New Roman" w:hAnsi="Times New Roman" w:cs="Times New Roman"/>
                      <w:color w:val="auto"/>
                      <w:sz w:val="21"/>
                      <w:szCs w:val="21"/>
                    </w:rPr>
                    <w:t>9</w:t>
                  </w:r>
                  <w:r>
                    <w:rPr>
                      <w:rFonts w:ascii="Times New Roman" w:hAnsi="Times New Roman" w:cs="Times New Roman"/>
                      <w:color w:val="auto"/>
                      <w:sz w:val="21"/>
                      <w:szCs w:val="21"/>
                    </w:rPr>
                    <w:t xml:space="preserve"> ' </w:t>
                  </w:r>
                  <w:r>
                    <w:rPr>
                      <w:rFonts w:hint="eastAsia" w:ascii="Times New Roman" w:hAnsi="Times New Roman" w:cs="Times New Roman"/>
                      <w:color w:val="auto"/>
                      <w:sz w:val="21"/>
                      <w:szCs w:val="21"/>
                    </w:rPr>
                    <w:t>22.97</w:t>
                  </w:r>
                  <w:r>
                    <w:rPr>
                      <w:rFonts w:ascii="Times New Roman" w:hAnsi="Times New Roman" w:cs="Times New Roman"/>
                      <w:color w:val="auto"/>
                      <w:sz w:val="21"/>
                      <w:szCs w:val="21"/>
                    </w:rPr>
                    <w:t xml:space="preserve">̋E </w:t>
                  </w:r>
                </w:p>
              </w:tc>
              <w:tc>
                <w:tcPr>
                  <w:tcW w:w="994" w:type="dxa"/>
                  <w:vMerge w:val="restart"/>
                  <w:tcBorders>
                    <w:top w:val="single" w:color="000000" w:sz="12" w:space="0"/>
                  </w:tcBorders>
                  <w:vAlign w:val="center"/>
                </w:tcPr>
                <w:p>
                  <w:pPr>
                    <w:spacing w:line="240" w:lineRule="auto"/>
                    <w:jc w:val="center"/>
                    <w:rPr>
                      <w:rFonts w:ascii="Times New Roman" w:hAnsi="Times New Roman" w:cs="Times New Roman"/>
                      <w:color w:val="auto"/>
                      <w:kern w:val="0"/>
                      <w:sz w:val="21"/>
                      <w:szCs w:val="21"/>
                    </w:rPr>
                  </w:pPr>
                  <w:r>
                    <w:rPr>
                      <w:rFonts w:ascii="Times New Roman" w:hAnsi="Times New Roman" w:cs="Times New Roman"/>
                      <w:color w:val="auto"/>
                      <w:sz w:val="21"/>
                      <w:szCs w:val="21"/>
                    </w:rPr>
                    <w:t>2</w:t>
                  </w:r>
                  <w:r>
                    <w:rPr>
                      <w:rFonts w:hint="eastAsia" w:ascii="Times New Roman" w:hAnsi="Times New Roman" w:cs="Times New Roman"/>
                      <w:color w:val="auto"/>
                      <w:sz w:val="21"/>
                      <w:szCs w:val="21"/>
                    </w:rPr>
                    <w:t>9</w:t>
                  </w:r>
                  <w:r>
                    <w:rPr>
                      <w:rFonts w:ascii="Times New Roman" w:hAnsi="Times New Roman" w:cs="Times New Roman"/>
                      <w:color w:val="auto"/>
                      <w:sz w:val="21"/>
                      <w:szCs w:val="21"/>
                    </w:rPr>
                    <w:t xml:space="preserve">° </w:t>
                  </w:r>
                  <w:r>
                    <w:rPr>
                      <w:rFonts w:hint="eastAsia" w:ascii="Times New Roman" w:hAnsi="Times New Roman" w:cs="Times New Roman"/>
                      <w:color w:val="auto"/>
                      <w:sz w:val="21"/>
                      <w:szCs w:val="21"/>
                    </w:rPr>
                    <w:t>22</w:t>
                  </w:r>
                  <w:r>
                    <w:rPr>
                      <w:rFonts w:ascii="Times New Roman" w:hAnsi="Times New Roman" w:cs="Times New Roman"/>
                      <w:color w:val="auto"/>
                      <w:sz w:val="21"/>
                      <w:szCs w:val="21"/>
                    </w:rPr>
                    <w:t xml:space="preserve"> '</w:t>
                  </w:r>
                  <w:r>
                    <w:rPr>
                      <w:rFonts w:hint="eastAsia" w:ascii="Times New Roman" w:hAnsi="Times New Roman" w:cs="Times New Roman"/>
                      <w:color w:val="auto"/>
                      <w:sz w:val="21"/>
                      <w:szCs w:val="21"/>
                    </w:rPr>
                    <w:t>45.97</w:t>
                  </w:r>
                  <w:r>
                    <w:rPr>
                      <w:rFonts w:ascii="Times New Roman" w:hAnsi="Times New Roman" w:cs="Times New Roman"/>
                      <w:color w:val="auto"/>
                      <w:sz w:val="21"/>
                      <w:szCs w:val="21"/>
                    </w:rPr>
                    <w:t xml:space="preserve">N </w:t>
                  </w:r>
                </w:p>
              </w:tc>
              <w:tc>
                <w:tcPr>
                  <w:tcW w:w="1059" w:type="dxa"/>
                  <w:vMerge w:val="restart"/>
                  <w:tcBorders>
                    <w:top w:val="single" w:color="000000" w:sz="12" w:space="0"/>
                  </w:tcBorders>
                  <w:vAlign w:val="center"/>
                </w:tcPr>
                <w:p>
                  <w:pPr>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sz w:val="21"/>
                      <w:szCs w:val="21"/>
                    </w:rPr>
                    <w:t>43</w:t>
                  </w:r>
                </w:p>
              </w:tc>
              <w:tc>
                <w:tcPr>
                  <w:tcW w:w="813" w:type="dxa"/>
                  <w:vMerge w:val="restart"/>
                  <w:tcBorders>
                    <w:top w:val="single" w:color="000000" w:sz="12" w:space="0"/>
                  </w:tcBorders>
                  <w:vAlign w:val="center"/>
                </w:tcPr>
                <w:p>
                  <w:pPr>
                    <w:spacing w:line="240" w:lineRule="auto"/>
                    <w:jc w:val="center"/>
                    <w:rPr>
                      <w:rFonts w:hint="eastAsia" w:ascii="Times New Roman" w:hAnsi="Times New Roman" w:cs="Times New Roman" w:eastAsiaTheme="minorEastAsia"/>
                      <w:color w:val="auto"/>
                      <w:kern w:val="0"/>
                      <w:sz w:val="21"/>
                      <w:szCs w:val="21"/>
                      <w:lang w:val="en-US" w:eastAsia="zh-CN"/>
                    </w:rPr>
                  </w:pPr>
                  <w:r>
                    <w:rPr>
                      <w:rFonts w:hint="eastAsia" w:ascii="Times New Roman" w:hAnsi="Times New Roman" w:cs="Times New Roman"/>
                      <w:color w:val="auto"/>
                      <w:kern w:val="0"/>
                      <w:sz w:val="21"/>
                      <w:szCs w:val="21"/>
                    </w:rPr>
                    <w:t>2</w:t>
                  </w:r>
                  <w:r>
                    <w:rPr>
                      <w:rFonts w:hint="eastAsia" w:ascii="Times New Roman" w:hAnsi="Times New Roman" w:cs="Times New Roman"/>
                      <w:color w:val="auto"/>
                      <w:kern w:val="0"/>
                      <w:sz w:val="21"/>
                      <w:szCs w:val="21"/>
                      <w:lang w:val="en-US" w:eastAsia="zh-CN"/>
                    </w:rPr>
                    <w:t>3</w:t>
                  </w:r>
                </w:p>
              </w:tc>
              <w:tc>
                <w:tcPr>
                  <w:tcW w:w="813" w:type="dxa"/>
                  <w:vMerge w:val="restart"/>
                  <w:tcBorders>
                    <w:top w:val="single" w:color="000000" w:sz="12" w:space="0"/>
                  </w:tcBorders>
                  <w:vAlign w:val="center"/>
                </w:tcPr>
                <w:p>
                  <w:pPr>
                    <w:spacing w:line="240" w:lineRule="auto"/>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0.</w:t>
                  </w:r>
                  <w:r>
                    <w:rPr>
                      <w:rFonts w:hint="eastAsia" w:ascii="Times New Roman" w:hAnsi="Times New Roman" w:cs="Times New Roman"/>
                      <w:color w:val="auto"/>
                      <w:kern w:val="0"/>
                      <w:sz w:val="21"/>
                      <w:szCs w:val="21"/>
                    </w:rPr>
                    <w:t>9</w:t>
                  </w:r>
                </w:p>
              </w:tc>
              <w:tc>
                <w:tcPr>
                  <w:tcW w:w="953" w:type="dxa"/>
                  <w:vMerge w:val="restart"/>
                  <w:tcBorders>
                    <w:top w:val="single" w:color="000000" w:sz="12" w:space="0"/>
                  </w:tcBorders>
                  <w:vAlign w:val="center"/>
                </w:tcPr>
                <w:p>
                  <w:pPr>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kern w:val="0"/>
                      <w:sz w:val="21"/>
                      <w:szCs w:val="21"/>
                    </w:rPr>
                    <w:t>6.19</w:t>
                  </w:r>
                </w:p>
              </w:tc>
              <w:tc>
                <w:tcPr>
                  <w:tcW w:w="849" w:type="dxa"/>
                  <w:vMerge w:val="restart"/>
                  <w:tcBorders>
                    <w:top w:val="single" w:color="000000" w:sz="12" w:space="0"/>
                  </w:tcBorders>
                  <w:vAlign w:val="center"/>
                </w:tcPr>
                <w:p>
                  <w:pPr>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kern w:val="0"/>
                      <w:sz w:val="21"/>
                      <w:szCs w:val="21"/>
                    </w:rPr>
                    <w:t>45</w:t>
                  </w:r>
                </w:p>
              </w:tc>
              <w:tc>
                <w:tcPr>
                  <w:tcW w:w="864" w:type="dxa"/>
                  <w:tcBorders>
                    <w:top w:val="single" w:color="000000" w:sz="12" w:space="0"/>
                  </w:tcBorders>
                  <w:vAlign w:val="center"/>
                </w:tcPr>
                <w:p>
                  <w:pPr>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kern w:val="0"/>
                      <w:sz w:val="21"/>
                      <w:szCs w:val="21"/>
                      <w:lang w:val="en-US" w:eastAsia="zh-CN"/>
                    </w:rPr>
                    <w:t>PM</w:t>
                  </w:r>
                  <w:r>
                    <w:rPr>
                      <w:rFonts w:hint="eastAsia" w:ascii="Times New Roman" w:hAnsi="Times New Roman" w:cs="Times New Roman"/>
                      <w:color w:val="auto"/>
                      <w:kern w:val="0"/>
                      <w:sz w:val="21"/>
                      <w:szCs w:val="21"/>
                      <w:vertAlign w:val="subscript"/>
                      <w:lang w:val="en-US" w:eastAsia="zh-CN"/>
                    </w:rPr>
                    <w:t>10</w:t>
                  </w:r>
                </w:p>
              </w:tc>
              <w:tc>
                <w:tcPr>
                  <w:tcW w:w="1063" w:type="dxa"/>
                  <w:tcBorders>
                    <w:top w:val="single" w:color="000000" w:sz="12" w:space="0"/>
                  </w:tcBorders>
                  <w:vAlign w:val="center"/>
                </w:tcPr>
                <w:p>
                  <w:pPr>
                    <w:spacing w:line="240" w:lineRule="auto"/>
                    <w:jc w:val="center"/>
                    <w:rPr>
                      <w:rFonts w:hint="default" w:ascii="Times New Roman" w:hAnsi="Times New Roman" w:cs="Times New Roman" w:eastAsiaTheme="minorEastAsia"/>
                      <w:color w:val="auto"/>
                      <w:kern w:val="0"/>
                      <w:sz w:val="21"/>
                      <w:szCs w:val="21"/>
                      <w:lang w:val="en-US" w:eastAsia="zh-CN"/>
                    </w:rPr>
                  </w:pPr>
                  <w:r>
                    <w:rPr>
                      <w:rFonts w:hint="eastAsia" w:ascii="Times New Roman" w:hAnsi="Times New Roman" w:cs="Times New Roman"/>
                      <w:color w:val="auto"/>
                      <w:kern w:val="0"/>
                      <w:sz w:val="21"/>
                      <w:szCs w:val="21"/>
                    </w:rPr>
                    <w:t>0.</w:t>
                  </w:r>
                  <w:r>
                    <w:rPr>
                      <w:rFonts w:hint="eastAsia" w:ascii="Times New Roman" w:hAnsi="Times New Roman" w:cs="Times New Roman"/>
                      <w:color w:val="auto"/>
                      <w:kern w:val="0"/>
                      <w:sz w:val="21"/>
                      <w:szCs w:val="21"/>
                      <w:lang w:val="en-US" w:eastAsia="zh-CN"/>
                    </w:rPr>
                    <w:t>25</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28" w:type="dxa"/>
                  <w:vMerge w:val="continue"/>
                  <w:tcBorders>
                    <w:tl2br w:val="nil"/>
                    <w:tr2bl w:val="nil"/>
                  </w:tcBorders>
                  <w:vAlign w:val="center"/>
                </w:tcPr>
                <w:p>
                  <w:pPr>
                    <w:spacing w:line="240" w:lineRule="auto"/>
                    <w:jc w:val="center"/>
                    <w:rPr>
                      <w:rFonts w:ascii="Times New Roman" w:hAnsi="Times New Roman" w:cs="Times New Roman"/>
                      <w:color w:val="auto"/>
                      <w:kern w:val="0"/>
                      <w:sz w:val="21"/>
                      <w:szCs w:val="21"/>
                    </w:rPr>
                  </w:pPr>
                </w:p>
              </w:tc>
              <w:tc>
                <w:tcPr>
                  <w:tcW w:w="934"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994"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059"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813" w:type="dxa"/>
                  <w:vMerge w:val="continue"/>
                  <w:tcBorders>
                    <w:tl2br w:val="nil"/>
                    <w:tr2bl w:val="nil"/>
                  </w:tcBorders>
                  <w:vAlign w:val="center"/>
                </w:tcPr>
                <w:p>
                  <w:pPr>
                    <w:spacing w:line="240" w:lineRule="auto"/>
                    <w:jc w:val="center"/>
                    <w:rPr>
                      <w:rFonts w:ascii="Times New Roman" w:hAnsi="Times New Roman" w:cs="Times New Roman"/>
                      <w:color w:val="auto"/>
                      <w:kern w:val="0"/>
                      <w:sz w:val="21"/>
                      <w:szCs w:val="21"/>
                    </w:rPr>
                  </w:pPr>
                </w:p>
              </w:tc>
              <w:tc>
                <w:tcPr>
                  <w:tcW w:w="813" w:type="dxa"/>
                  <w:vMerge w:val="continue"/>
                  <w:tcBorders>
                    <w:tl2br w:val="nil"/>
                    <w:tr2bl w:val="nil"/>
                  </w:tcBorders>
                  <w:vAlign w:val="center"/>
                </w:tcPr>
                <w:p>
                  <w:pPr>
                    <w:spacing w:line="240" w:lineRule="auto"/>
                    <w:jc w:val="center"/>
                    <w:rPr>
                      <w:rFonts w:ascii="Times New Roman" w:hAnsi="Times New Roman" w:cs="Times New Roman"/>
                      <w:color w:val="auto"/>
                      <w:kern w:val="0"/>
                      <w:sz w:val="21"/>
                      <w:szCs w:val="21"/>
                    </w:rPr>
                  </w:pPr>
                </w:p>
              </w:tc>
              <w:tc>
                <w:tcPr>
                  <w:tcW w:w="953" w:type="dxa"/>
                  <w:vMerge w:val="continue"/>
                  <w:tcBorders>
                    <w:tl2br w:val="nil"/>
                    <w:tr2bl w:val="nil"/>
                  </w:tcBorders>
                  <w:vAlign w:val="center"/>
                </w:tcPr>
                <w:p>
                  <w:pPr>
                    <w:spacing w:line="240" w:lineRule="auto"/>
                    <w:jc w:val="center"/>
                    <w:rPr>
                      <w:rFonts w:ascii="Times New Roman" w:hAnsi="Times New Roman" w:cs="Times New Roman"/>
                      <w:color w:val="auto"/>
                      <w:kern w:val="0"/>
                      <w:sz w:val="21"/>
                      <w:szCs w:val="21"/>
                    </w:rPr>
                  </w:pPr>
                </w:p>
              </w:tc>
              <w:tc>
                <w:tcPr>
                  <w:tcW w:w="849" w:type="dxa"/>
                  <w:vMerge w:val="continue"/>
                  <w:tcBorders>
                    <w:tl2br w:val="nil"/>
                    <w:tr2bl w:val="nil"/>
                  </w:tcBorders>
                  <w:vAlign w:val="center"/>
                </w:tcPr>
                <w:p>
                  <w:pPr>
                    <w:spacing w:line="240" w:lineRule="auto"/>
                    <w:jc w:val="center"/>
                    <w:rPr>
                      <w:rFonts w:ascii="Times New Roman" w:hAnsi="Times New Roman" w:cs="Times New Roman"/>
                      <w:color w:val="auto"/>
                      <w:kern w:val="0"/>
                      <w:sz w:val="21"/>
                      <w:szCs w:val="21"/>
                    </w:rPr>
                  </w:pPr>
                </w:p>
              </w:tc>
              <w:tc>
                <w:tcPr>
                  <w:tcW w:w="864" w:type="dxa"/>
                  <w:tcBorders>
                    <w:tl2br w:val="nil"/>
                    <w:tr2bl w:val="nil"/>
                  </w:tcBorders>
                  <w:vAlign w:val="center"/>
                </w:tcPr>
                <w:p>
                  <w:pPr>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kern w:val="0"/>
                      <w:sz w:val="21"/>
                      <w:szCs w:val="21"/>
                    </w:rPr>
                    <w:t>SO</w:t>
                  </w:r>
                  <w:r>
                    <w:rPr>
                      <w:rFonts w:hint="eastAsia" w:ascii="Times New Roman" w:hAnsi="Times New Roman" w:cs="Times New Roman"/>
                      <w:color w:val="auto"/>
                      <w:kern w:val="0"/>
                      <w:sz w:val="21"/>
                      <w:szCs w:val="21"/>
                      <w:vertAlign w:val="subscript"/>
                    </w:rPr>
                    <w:t>2</w:t>
                  </w:r>
                </w:p>
              </w:tc>
              <w:tc>
                <w:tcPr>
                  <w:tcW w:w="1063" w:type="dxa"/>
                  <w:tcBorders>
                    <w:tl2br w:val="nil"/>
                    <w:tr2bl w:val="nil"/>
                  </w:tcBorders>
                  <w:vAlign w:val="center"/>
                </w:tcPr>
                <w:p>
                  <w:pPr>
                    <w:spacing w:line="240" w:lineRule="auto"/>
                    <w:jc w:val="center"/>
                    <w:rPr>
                      <w:rFonts w:hint="default" w:ascii="Times New Roman" w:hAnsi="Times New Roman" w:cs="Times New Roman" w:eastAsiaTheme="minorEastAsia"/>
                      <w:color w:val="auto"/>
                      <w:kern w:val="0"/>
                      <w:sz w:val="21"/>
                      <w:szCs w:val="21"/>
                      <w:lang w:val="en-US" w:eastAsia="zh-CN"/>
                    </w:rPr>
                  </w:pPr>
                  <w:r>
                    <w:rPr>
                      <w:rFonts w:hint="eastAsia" w:ascii="Times New Roman" w:hAnsi="Times New Roman" w:cs="Times New Roman"/>
                      <w:color w:val="auto"/>
                      <w:kern w:val="0"/>
                      <w:sz w:val="21"/>
                      <w:szCs w:val="21"/>
                    </w:rPr>
                    <w:t>0.</w:t>
                  </w:r>
                  <w:r>
                    <w:rPr>
                      <w:rFonts w:hint="eastAsia" w:ascii="Times New Roman" w:hAnsi="Times New Roman" w:cs="Times New Roman"/>
                      <w:color w:val="auto"/>
                      <w:kern w:val="0"/>
                      <w:sz w:val="21"/>
                      <w:szCs w:val="21"/>
                      <w:lang w:val="en-US" w:eastAsia="zh-CN"/>
                    </w:rPr>
                    <w:t>416</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28" w:type="dxa"/>
                  <w:vMerge w:val="continue"/>
                  <w:tcBorders>
                    <w:tl2br w:val="nil"/>
                    <w:tr2bl w:val="nil"/>
                  </w:tcBorders>
                  <w:vAlign w:val="center"/>
                </w:tcPr>
                <w:p>
                  <w:pPr>
                    <w:spacing w:line="240" w:lineRule="auto"/>
                    <w:jc w:val="center"/>
                    <w:rPr>
                      <w:rFonts w:ascii="Times New Roman" w:hAnsi="Times New Roman" w:cs="Times New Roman"/>
                      <w:color w:val="auto"/>
                      <w:kern w:val="0"/>
                      <w:sz w:val="21"/>
                      <w:szCs w:val="21"/>
                    </w:rPr>
                  </w:pPr>
                </w:p>
              </w:tc>
              <w:tc>
                <w:tcPr>
                  <w:tcW w:w="934"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994"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059"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813" w:type="dxa"/>
                  <w:vMerge w:val="continue"/>
                  <w:tcBorders>
                    <w:tl2br w:val="nil"/>
                    <w:tr2bl w:val="nil"/>
                  </w:tcBorders>
                  <w:vAlign w:val="center"/>
                </w:tcPr>
                <w:p>
                  <w:pPr>
                    <w:spacing w:line="240" w:lineRule="auto"/>
                    <w:jc w:val="center"/>
                    <w:rPr>
                      <w:rFonts w:ascii="Times New Roman" w:hAnsi="Times New Roman" w:cs="Times New Roman"/>
                      <w:color w:val="auto"/>
                      <w:kern w:val="0"/>
                      <w:sz w:val="21"/>
                      <w:szCs w:val="21"/>
                    </w:rPr>
                  </w:pPr>
                </w:p>
              </w:tc>
              <w:tc>
                <w:tcPr>
                  <w:tcW w:w="813" w:type="dxa"/>
                  <w:vMerge w:val="continue"/>
                  <w:tcBorders>
                    <w:tl2br w:val="nil"/>
                    <w:tr2bl w:val="nil"/>
                  </w:tcBorders>
                  <w:vAlign w:val="center"/>
                </w:tcPr>
                <w:p>
                  <w:pPr>
                    <w:spacing w:line="240" w:lineRule="auto"/>
                    <w:jc w:val="center"/>
                    <w:rPr>
                      <w:rFonts w:ascii="Times New Roman" w:hAnsi="Times New Roman" w:cs="Times New Roman"/>
                      <w:color w:val="auto"/>
                      <w:kern w:val="0"/>
                      <w:sz w:val="21"/>
                      <w:szCs w:val="21"/>
                    </w:rPr>
                  </w:pPr>
                </w:p>
              </w:tc>
              <w:tc>
                <w:tcPr>
                  <w:tcW w:w="953" w:type="dxa"/>
                  <w:vMerge w:val="continue"/>
                  <w:tcBorders>
                    <w:tl2br w:val="nil"/>
                    <w:tr2bl w:val="nil"/>
                  </w:tcBorders>
                  <w:vAlign w:val="center"/>
                </w:tcPr>
                <w:p>
                  <w:pPr>
                    <w:spacing w:line="240" w:lineRule="auto"/>
                    <w:jc w:val="center"/>
                    <w:rPr>
                      <w:rFonts w:ascii="Times New Roman" w:hAnsi="Times New Roman" w:cs="Times New Roman"/>
                      <w:color w:val="auto"/>
                      <w:kern w:val="0"/>
                      <w:sz w:val="21"/>
                      <w:szCs w:val="21"/>
                    </w:rPr>
                  </w:pPr>
                </w:p>
              </w:tc>
              <w:tc>
                <w:tcPr>
                  <w:tcW w:w="849" w:type="dxa"/>
                  <w:vMerge w:val="continue"/>
                  <w:tcBorders>
                    <w:tl2br w:val="nil"/>
                    <w:tr2bl w:val="nil"/>
                  </w:tcBorders>
                  <w:vAlign w:val="center"/>
                </w:tcPr>
                <w:p>
                  <w:pPr>
                    <w:spacing w:line="240" w:lineRule="auto"/>
                    <w:jc w:val="center"/>
                    <w:rPr>
                      <w:rFonts w:ascii="Times New Roman" w:hAnsi="Times New Roman" w:cs="Times New Roman"/>
                      <w:color w:val="auto"/>
                      <w:kern w:val="0"/>
                      <w:sz w:val="21"/>
                      <w:szCs w:val="21"/>
                    </w:rPr>
                  </w:pPr>
                </w:p>
              </w:tc>
              <w:tc>
                <w:tcPr>
                  <w:tcW w:w="864" w:type="dxa"/>
                  <w:tcBorders>
                    <w:tl2br w:val="nil"/>
                    <w:tr2bl w:val="nil"/>
                  </w:tcBorders>
                  <w:vAlign w:val="center"/>
                </w:tcPr>
                <w:p>
                  <w:pPr>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kern w:val="0"/>
                      <w:sz w:val="21"/>
                      <w:szCs w:val="21"/>
                    </w:rPr>
                    <w:t>NO</w:t>
                  </w:r>
                  <w:r>
                    <w:rPr>
                      <w:rFonts w:hint="eastAsia" w:ascii="Times New Roman" w:hAnsi="Times New Roman" w:cs="Times New Roman"/>
                      <w:color w:val="auto"/>
                      <w:kern w:val="0"/>
                      <w:sz w:val="21"/>
                      <w:szCs w:val="21"/>
                      <w:vertAlign w:val="subscript"/>
                    </w:rPr>
                    <w:t>X</w:t>
                  </w:r>
                </w:p>
              </w:tc>
              <w:tc>
                <w:tcPr>
                  <w:tcW w:w="1063" w:type="dxa"/>
                  <w:tcBorders>
                    <w:tl2br w:val="nil"/>
                    <w:tr2bl w:val="nil"/>
                  </w:tcBorders>
                  <w:vAlign w:val="center"/>
                </w:tcPr>
                <w:p>
                  <w:pPr>
                    <w:spacing w:line="240" w:lineRule="auto"/>
                    <w:jc w:val="center"/>
                    <w:rPr>
                      <w:rFonts w:hint="eastAsia" w:ascii="Times New Roman" w:hAnsi="Times New Roman" w:cs="Times New Roman" w:eastAsiaTheme="minorEastAsia"/>
                      <w:color w:val="auto"/>
                      <w:kern w:val="0"/>
                      <w:sz w:val="21"/>
                      <w:szCs w:val="21"/>
                      <w:lang w:eastAsia="zh-CN"/>
                    </w:rPr>
                  </w:pPr>
                  <w:r>
                    <w:rPr>
                      <w:rFonts w:hint="eastAsia" w:ascii="Times New Roman" w:hAnsi="Times New Roman" w:cs="Times New Roman"/>
                      <w:color w:val="auto"/>
                      <w:kern w:val="0"/>
                      <w:sz w:val="21"/>
                      <w:szCs w:val="21"/>
                    </w:rPr>
                    <w:t>0.39</w:t>
                  </w:r>
                  <w:r>
                    <w:rPr>
                      <w:rFonts w:hint="eastAsia" w:ascii="Times New Roman" w:hAnsi="Times New Roman" w:cs="Times New Roman"/>
                      <w:color w:val="auto"/>
                      <w:kern w:val="0"/>
                      <w:sz w:val="21"/>
                      <w:szCs w:val="21"/>
                      <w:lang w:val="en-US" w:eastAsia="zh-CN"/>
                    </w:rPr>
                    <w:t>7</w:t>
                  </w:r>
                </w:p>
              </w:tc>
            </w:tr>
          </w:tbl>
          <w:p>
            <w:pPr>
              <w:spacing w:line="360" w:lineRule="auto"/>
              <w:jc w:val="center"/>
              <w:rPr>
                <w:rFonts w:ascii="Times New Roman" w:hAnsi="Times New Roman" w:cs="Times New Roman"/>
                <w:b/>
                <w:bCs/>
                <w:color w:val="auto"/>
              </w:rPr>
            </w:pPr>
            <w:r>
              <w:rPr>
                <w:rFonts w:hint="eastAsia" w:ascii="Times New Roman" w:hAnsi="Times New Roman" w:cs="Times New Roman"/>
                <w:b/>
                <w:bCs/>
                <w:color w:val="auto"/>
              </w:rPr>
              <w:t>表7-6  估算模型参数表</w:t>
            </w:r>
          </w:p>
          <w:tbl>
            <w:tblPr>
              <w:tblStyle w:val="17"/>
              <w:tblW w:w="4999"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535"/>
              <w:gridCol w:w="453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参数</w:t>
                  </w:r>
                </w:p>
              </w:tc>
              <w:tc>
                <w:tcPr>
                  <w:tcW w:w="2499"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取值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城市/农村选项</w:t>
                  </w:r>
                </w:p>
              </w:tc>
              <w:tc>
                <w:tcPr>
                  <w:tcW w:w="2499"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城市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最高环境温度（℃）</w:t>
                  </w:r>
                </w:p>
              </w:tc>
              <w:tc>
                <w:tcPr>
                  <w:tcW w:w="2499" w:type="pct"/>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39.3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最低环境温度（℃）</w:t>
                  </w:r>
                </w:p>
              </w:tc>
              <w:tc>
                <w:tcPr>
                  <w:tcW w:w="2499" w:type="pct"/>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-11.4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土地利用类型</w:t>
                  </w:r>
                </w:p>
              </w:tc>
              <w:tc>
                <w:tcPr>
                  <w:tcW w:w="2499" w:type="pct"/>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城市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区域温度条件</w:t>
                  </w:r>
                </w:p>
              </w:tc>
              <w:tc>
                <w:tcPr>
                  <w:tcW w:w="2499" w:type="pct"/>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潮湿气候</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其他</w:t>
                  </w:r>
                </w:p>
              </w:tc>
              <w:tc>
                <w:tcPr>
                  <w:tcW w:w="2499" w:type="pct"/>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不考虑地形、不考虑岸线熏烟</w:t>
                  </w:r>
                </w:p>
              </w:tc>
            </w:tr>
          </w:tbl>
          <w:p>
            <w:pPr>
              <w:ind w:firstLine="480" w:firstLineChars="200"/>
              <w:rPr>
                <w:color w:val="auto"/>
              </w:rPr>
            </w:pPr>
            <w:r>
              <w:rPr>
                <w:rFonts w:ascii="Times New Roman" w:hAnsi="Times New Roman" w:cs="Times New Roman"/>
                <w:color w:val="auto"/>
                <w:kern w:val="0"/>
              </w:rPr>
              <w:t>预测结果详见下图：</w:t>
            </w:r>
          </w:p>
          <w:p>
            <w:pPr>
              <w:keepNext w:val="0"/>
              <w:keepLines w:val="0"/>
              <w:widowControl/>
              <w:suppressLineNumbers w:val="0"/>
              <w:jc w:val="left"/>
              <w:rPr>
                <w:color w:val="auto"/>
              </w:rPr>
            </w:pPr>
            <w:r>
              <w:rPr>
                <w:rFonts w:ascii="宋体" w:hAnsi="宋体" w:eastAsia="宋体" w:cs="宋体"/>
                <w:color w:val="auto"/>
                <w:kern w:val="0"/>
                <w:sz w:val="24"/>
                <w:szCs w:val="24"/>
                <w:lang w:val="en-US" w:eastAsia="zh-CN" w:bidi="ar"/>
              </w:rPr>
              <w:drawing>
                <wp:anchor distT="0" distB="0" distL="114300" distR="114300" simplePos="0" relativeHeight="251668480" behindDoc="0" locked="0" layoutInCell="1" allowOverlap="1">
                  <wp:simplePos x="0" y="0"/>
                  <wp:positionH relativeFrom="column">
                    <wp:posOffset>276860</wp:posOffset>
                  </wp:positionH>
                  <wp:positionV relativeFrom="paragraph">
                    <wp:posOffset>69215</wp:posOffset>
                  </wp:positionV>
                  <wp:extent cx="5039995" cy="3780155"/>
                  <wp:effectExtent l="9525" t="9525" r="17780" b="20320"/>
                  <wp:wrapNone/>
                  <wp:docPr id="1" name="图片 4" descr="IMG_256"/>
                  <wp:cNvGraphicFramePr/>
                  <a:graphic xmlns:a="http://schemas.openxmlformats.org/drawingml/2006/main">
                    <a:graphicData uri="http://schemas.openxmlformats.org/drawingml/2006/picture">
                      <pic:pic xmlns:pic="http://schemas.openxmlformats.org/drawingml/2006/picture">
                        <pic:nvPicPr>
                          <pic:cNvPr id="1" name="图片 4" descr="IMG_256"/>
                          <pic:cNvPicPr/>
                        </pic:nvPicPr>
                        <pic:blipFill>
                          <a:blip r:embed="rId16"/>
                          <a:stretch>
                            <a:fillRect/>
                          </a:stretch>
                        </pic:blipFill>
                        <pic:spPr>
                          <a:xfrm>
                            <a:off x="0" y="0"/>
                            <a:ext cx="5039995" cy="3780155"/>
                          </a:xfrm>
                          <a:prstGeom prst="rect">
                            <a:avLst/>
                          </a:prstGeom>
                          <a:noFill/>
                          <a:ln w="9525">
                            <a:solidFill>
                              <a:schemeClr val="tx1"/>
                            </a:solidFill>
                          </a:ln>
                        </pic:spPr>
                      </pic:pic>
                    </a:graphicData>
                  </a:graphic>
                </wp:anchor>
              </w:drawing>
            </w:r>
          </w:p>
          <w:p>
            <w:pPr>
              <w:keepNext w:val="0"/>
              <w:keepLines w:val="0"/>
              <w:widowControl/>
              <w:suppressLineNumbers w:val="0"/>
              <w:jc w:val="left"/>
              <w:rPr>
                <w:color w:val="auto"/>
              </w:rPr>
            </w:pPr>
          </w:p>
          <w:p>
            <w:pPr>
              <w:keepNext w:val="0"/>
              <w:keepLines w:val="0"/>
              <w:widowControl/>
              <w:suppressLineNumbers w:val="0"/>
              <w:jc w:val="left"/>
              <w:rPr>
                <w:color w:val="auto"/>
              </w:rPr>
            </w:pPr>
          </w:p>
          <w:p>
            <w:pPr>
              <w:widowControl/>
              <w:jc w:val="left"/>
              <w:rPr>
                <w:color w:val="auto"/>
              </w:rPr>
            </w:pPr>
          </w:p>
          <w:p>
            <w:pPr>
              <w:pStyle w:val="15"/>
              <w:ind w:firstLine="240"/>
              <w:rPr>
                <w:rFonts w:ascii="Times New Roman" w:hAnsi="Times New Roman" w:cs="Times New Roman"/>
                <w:color w:val="auto"/>
              </w:rPr>
            </w:pPr>
          </w:p>
          <w:p>
            <w:pPr>
              <w:rPr>
                <w:rFonts w:ascii="Times New Roman" w:hAnsi="Times New Roman" w:cs="Times New Roman"/>
                <w:color w:val="auto"/>
              </w:rPr>
            </w:pPr>
          </w:p>
          <w:p>
            <w:pPr>
              <w:pStyle w:val="2"/>
              <w:rPr>
                <w:color w:val="auto"/>
              </w:rPr>
            </w:pPr>
          </w:p>
          <w:p>
            <w:pPr>
              <w:rPr>
                <w:color w:val="auto"/>
              </w:rPr>
            </w:pPr>
          </w:p>
          <w:p>
            <w:pPr>
              <w:rPr>
                <w:color w:val="auto"/>
              </w:rPr>
            </w:pPr>
          </w:p>
          <w:p>
            <w:pPr>
              <w:rPr>
                <w:rFonts w:hint="eastAsia"/>
                <w:color w:val="auto"/>
              </w:rPr>
            </w:pPr>
          </w:p>
          <w:p>
            <w:pPr>
              <w:pStyle w:val="2"/>
              <w:rPr>
                <w:color w:val="auto"/>
              </w:rPr>
            </w:pPr>
          </w:p>
          <w:p>
            <w:pPr>
              <w:spacing w:line="360" w:lineRule="auto"/>
              <w:jc w:val="center"/>
              <w:rPr>
                <w:color w:val="auto"/>
              </w:rPr>
            </w:pPr>
            <w:r>
              <w:rPr>
                <w:rFonts w:ascii="Times New Roman" w:hAnsi="Times New Roman" w:cs="Times New Roman"/>
                <w:b/>
                <w:bCs/>
                <w:color w:val="auto"/>
              </w:rPr>
              <w:t>图7-</w:t>
            </w:r>
            <w:r>
              <w:rPr>
                <w:rFonts w:hint="eastAsia" w:ascii="Times New Roman" w:hAnsi="Times New Roman" w:cs="Times New Roman"/>
                <w:b/>
                <w:bCs/>
                <w:color w:val="auto"/>
              </w:rPr>
              <w:t>2</w:t>
            </w:r>
            <w:r>
              <w:rPr>
                <w:rFonts w:ascii="Times New Roman" w:hAnsi="Times New Roman" w:cs="Times New Roman"/>
                <w:b/>
                <w:bCs/>
                <w:color w:val="auto"/>
              </w:rPr>
              <w:t xml:space="preserve">  </w:t>
            </w:r>
            <w:r>
              <w:rPr>
                <w:rFonts w:hint="eastAsia" w:ascii="Times New Roman" w:hAnsi="Times New Roman" w:cs="Times New Roman"/>
                <w:b/>
                <w:bCs/>
                <w:color w:val="auto"/>
                <w:lang w:val="en-US" w:eastAsia="zh-CN"/>
              </w:rPr>
              <w:t>PM</w:t>
            </w:r>
            <w:r>
              <w:rPr>
                <w:rFonts w:hint="eastAsia" w:ascii="Times New Roman" w:hAnsi="Times New Roman" w:cs="Times New Roman"/>
                <w:b/>
                <w:bCs/>
                <w:color w:val="auto"/>
                <w:vertAlign w:val="subscript"/>
                <w:lang w:val="en-US" w:eastAsia="zh-CN"/>
              </w:rPr>
              <w:t>10</w:t>
            </w:r>
            <w:r>
              <w:rPr>
                <w:rFonts w:ascii="Times New Roman" w:hAnsi="Times New Roman" w:cs="Times New Roman"/>
                <w:b/>
                <w:bCs/>
                <w:color w:val="auto"/>
              </w:rPr>
              <w:t>、NO</w:t>
            </w:r>
            <w:r>
              <w:rPr>
                <w:rFonts w:ascii="Times New Roman" w:hAnsi="Times New Roman" w:cs="Times New Roman"/>
                <w:b/>
                <w:bCs/>
                <w:color w:val="auto"/>
                <w:vertAlign w:val="subscript"/>
              </w:rPr>
              <w:t>X</w:t>
            </w:r>
            <w:r>
              <w:rPr>
                <w:rFonts w:ascii="Times New Roman" w:hAnsi="Times New Roman" w:cs="Times New Roman"/>
                <w:b/>
                <w:bCs/>
                <w:color w:val="auto"/>
              </w:rPr>
              <w:t>、SO</w:t>
            </w:r>
            <w:r>
              <w:rPr>
                <w:rFonts w:ascii="Times New Roman" w:hAnsi="Times New Roman" w:cs="Times New Roman"/>
                <w:b/>
                <w:bCs/>
                <w:color w:val="auto"/>
                <w:vertAlign w:val="subscript"/>
              </w:rPr>
              <w:t>2</w:t>
            </w:r>
            <w:r>
              <w:rPr>
                <w:rFonts w:ascii="Times New Roman" w:hAnsi="Times New Roman" w:cs="Times New Roman"/>
                <w:b/>
                <w:bCs/>
                <w:color w:val="auto"/>
              </w:rPr>
              <w:t>一小时浓度占标率</w:t>
            </w:r>
          </w:p>
          <w:p>
            <w:pPr>
              <w:keepNext w:val="0"/>
              <w:keepLines w:val="0"/>
              <w:widowControl/>
              <w:suppressLineNumbers w:val="0"/>
              <w:jc w:val="left"/>
              <w:rPr>
                <w:color w:val="auto"/>
              </w:rPr>
            </w:pPr>
            <w:r>
              <w:rPr>
                <w:rFonts w:ascii="宋体" w:hAnsi="宋体" w:eastAsia="宋体" w:cs="宋体"/>
                <w:color w:val="auto"/>
                <w:kern w:val="0"/>
                <w:sz w:val="24"/>
                <w:szCs w:val="24"/>
                <w:lang w:val="en-US" w:eastAsia="zh-CN" w:bidi="ar"/>
              </w:rPr>
              <w:drawing>
                <wp:anchor distT="0" distB="0" distL="114300" distR="114300" simplePos="0" relativeHeight="251667456" behindDoc="0" locked="0" layoutInCell="1" allowOverlap="1">
                  <wp:simplePos x="0" y="0"/>
                  <wp:positionH relativeFrom="column">
                    <wp:posOffset>243205</wp:posOffset>
                  </wp:positionH>
                  <wp:positionV relativeFrom="paragraph">
                    <wp:posOffset>69215</wp:posOffset>
                  </wp:positionV>
                  <wp:extent cx="5039995" cy="3780155"/>
                  <wp:effectExtent l="9525" t="9525" r="17780" b="20320"/>
                  <wp:wrapNone/>
                  <wp:docPr id="7" name="图片 7" descr="IMG_256"/>
                  <wp:cNvGraphicFramePr/>
                  <a:graphic xmlns:a="http://schemas.openxmlformats.org/drawingml/2006/main">
                    <a:graphicData uri="http://schemas.openxmlformats.org/drawingml/2006/picture">
                      <pic:pic xmlns:pic="http://schemas.openxmlformats.org/drawingml/2006/picture">
                        <pic:nvPicPr>
                          <pic:cNvPr id="7" name="图片 7" descr="IMG_256"/>
                          <pic:cNvPicPr/>
                        </pic:nvPicPr>
                        <pic:blipFill>
                          <a:blip r:embed="rId17"/>
                          <a:stretch>
                            <a:fillRect/>
                          </a:stretch>
                        </pic:blipFill>
                        <pic:spPr>
                          <a:xfrm>
                            <a:off x="0" y="0"/>
                            <a:ext cx="5039995" cy="3780155"/>
                          </a:xfrm>
                          <a:prstGeom prst="rect">
                            <a:avLst/>
                          </a:prstGeom>
                          <a:noFill/>
                          <a:ln w="9525">
                            <a:solidFill>
                              <a:schemeClr val="tx1"/>
                            </a:solidFill>
                          </a:ln>
                        </pic:spPr>
                      </pic:pic>
                    </a:graphicData>
                  </a:graphic>
                </wp:anchor>
              </w:drawing>
            </w:r>
          </w:p>
          <w:p>
            <w:pPr>
              <w:keepNext w:val="0"/>
              <w:keepLines w:val="0"/>
              <w:widowControl/>
              <w:suppressLineNumbers w:val="0"/>
              <w:jc w:val="left"/>
              <w:rPr>
                <w:color w:val="auto"/>
              </w:rPr>
            </w:pPr>
          </w:p>
          <w:p>
            <w:pPr>
              <w:widowControl/>
              <w:jc w:val="left"/>
              <w:rPr>
                <w:color w:val="auto"/>
              </w:rPr>
            </w:pPr>
          </w:p>
          <w:p>
            <w:pPr>
              <w:widowControl/>
              <w:jc w:val="left"/>
              <w:rPr>
                <w:color w:val="auto"/>
              </w:rPr>
            </w:pPr>
          </w:p>
          <w:p>
            <w:pPr>
              <w:rPr>
                <w:color w:val="auto"/>
              </w:rPr>
            </w:pPr>
          </w:p>
          <w:p>
            <w:pPr>
              <w:pStyle w:val="2"/>
              <w:rPr>
                <w:color w:val="auto"/>
              </w:rPr>
            </w:pPr>
          </w:p>
          <w:p>
            <w:pPr>
              <w:pStyle w:val="2"/>
              <w:rPr>
                <w:color w:val="auto"/>
              </w:rPr>
            </w:pPr>
          </w:p>
          <w:p>
            <w:pPr>
              <w:pStyle w:val="15"/>
              <w:ind w:firstLine="240"/>
              <w:rPr>
                <w:color w:val="auto"/>
              </w:rPr>
            </w:pPr>
          </w:p>
          <w:p>
            <w:pPr>
              <w:rPr>
                <w:color w:val="auto"/>
              </w:rPr>
            </w:pPr>
          </w:p>
          <w:p>
            <w:pPr>
              <w:keepNext w:val="0"/>
              <w:keepLines w:val="0"/>
              <w:pageBreakBefore w:val="0"/>
              <w:widowControl w:val="0"/>
              <w:kinsoku/>
              <w:wordWrap/>
              <w:overflowPunct/>
              <w:topLinePunct w:val="0"/>
              <w:autoSpaceDE/>
              <w:autoSpaceDN/>
              <w:bidi w:val="0"/>
              <w:adjustRightInd/>
              <w:snapToGrid/>
              <w:spacing w:before="313" w:beforeLines="100"/>
              <w:textAlignment w:val="auto"/>
              <w:rPr>
                <w:color w:val="auto"/>
              </w:rPr>
            </w:pPr>
          </w:p>
          <w:p>
            <w:pPr>
              <w:pStyle w:val="15"/>
              <w:spacing w:before="156" w:beforeLines="50" w:after="0"/>
              <w:ind w:firstLine="0" w:firstLineChars="0"/>
              <w:jc w:val="center"/>
              <w:rPr>
                <w:color w:val="auto"/>
              </w:rPr>
            </w:pPr>
            <w:r>
              <w:rPr>
                <w:rFonts w:hint="eastAsia" w:ascii="Times New Roman" w:hAnsi="Times New Roman" w:cs="Times New Roman"/>
                <w:b/>
                <w:bCs/>
                <w:color w:val="auto"/>
              </w:rPr>
              <w:t xml:space="preserve">图7-3 </w:t>
            </w:r>
            <w:r>
              <w:rPr>
                <w:rFonts w:hint="eastAsia"/>
                <w:color w:val="auto"/>
              </w:rPr>
              <w:t xml:space="preserve"> </w:t>
            </w:r>
            <w:r>
              <w:rPr>
                <w:rFonts w:hint="eastAsia" w:ascii="Times New Roman" w:hAnsi="Times New Roman" w:cs="Times New Roman"/>
                <w:b/>
                <w:bCs/>
                <w:color w:val="auto"/>
                <w:lang w:val="en-US" w:eastAsia="zh-CN"/>
              </w:rPr>
              <w:t>PM</w:t>
            </w:r>
            <w:r>
              <w:rPr>
                <w:rFonts w:hint="eastAsia" w:ascii="Times New Roman" w:hAnsi="Times New Roman" w:cs="Times New Roman"/>
                <w:b/>
                <w:bCs/>
                <w:color w:val="auto"/>
                <w:vertAlign w:val="subscript"/>
                <w:lang w:val="en-US" w:eastAsia="zh-CN"/>
              </w:rPr>
              <w:t>10</w:t>
            </w:r>
            <w:r>
              <w:rPr>
                <w:rFonts w:ascii="Times New Roman" w:hAnsi="Times New Roman" w:cs="Times New Roman"/>
                <w:b/>
                <w:bCs/>
                <w:color w:val="auto"/>
              </w:rPr>
              <w:t>、NO</w:t>
            </w:r>
            <w:r>
              <w:rPr>
                <w:rFonts w:ascii="Times New Roman" w:hAnsi="Times New Roman" w:cs="Times New Roman"/>
                <w:b/>
                <w:bCs/>
                <w:color w:val="auto"/>
                <w:vertAlign w:val="subscript"/>
              </w:rPr>
              <w:t>X</w:t>
            </w:r>
            <w:r>
              <w:rPr>
                <w:rFonts w:ascii="Times New Roman" w:hAnsi="Times New Roman" w:cs="Times New Roman"/>
                <w:b/>
                <w:bCs/>
                <w:color w:val="auto"/>
              </w:rPr>
              <w:t>、SO</w:t>
            </w:r>
            <w:r>
              <w:rPr>
                <w:rFonts w:ascii="Times New Roman" w:hAnsi="Times New Roman" w:cs="Times New Roman"/>
                <w:b/>
                <w:bCs/>
                <w:color w:val="auto"/>
                <w:vertAlign w:val="subscript"/>
              </w:rPr>
              <w:t>2</w:t>
            </w:r>
            <w:r>
              <w:rPr>
                <w:rFonts w:ascii="Times New Roman" w:hAnsi="Times New Roman" w:cs="Times New Roman"/>
                <w:b/>
                <w:bCs/>
                <w:color w:val="auto"/>
              </w:rPr>
              <w:t>一小时浓度</w:t>
            </w:r>
          </w:p>
          <w:p>
            <w:pPr>
              <w:pStyle w:val="29"/>
              <w:spacing w:line="520" w:lineRule="exact"/>
              <w:ind w:firstLine="480"/>
              <w:rPr>
                <w:rFonts w:ascii="Times New Roman" w:hAnsi="Times New Roman" w:cs="Times New Roman"/>
                <w:color w:val="auto"/>
              </w:rPr>
            </w:pPr>
            <w:r>
              <w:rPr>
                <w:rFonts w:ascii="Times New Roman" w:hAnsi="Times New Roman" w:cs="Times New Roman"/>
                <w:color w:val="auto"/>
              </w:rPr>
              <w:t>注：</w:t>
            </w:r>
            <w:r>
              <w:rPr>
                <w:rFonts w:hint="eastAsia" w:ascii="Times New Roman" w:hAnsi="Times New Roman" w:cs="Times New Roman"/>
                <w:b w:val="0"/>
                <w:bCs w:val="0"/>
                <w:color w:val="auto"/>
                <w:lang w:val="en-US" w:eastAsia="zh-CN"/>
              </w:rPr>
              <w:t>PM</w:t>
            </w:r>
            <w:r>
              <w:rPr>
                <w:rFonts w:hint="eastAsia" w:ascii="Times New Roman" w:hAnsi="Times New Roman" w:cs="Times New Roman"/>
                <w:b w:val="0"/>
                <w:bCs w:val="0"/>
                <w:color w:val="auto"/>
                <w:vertAlign w:val="subscript"/>
                <w:lang w:val="en-US" w:eastAsia="zh-CN"/>
              </w:rPr>
              <w:t>10</w:t>
            </w:r>
            <w:r>
              <w:rPr>
                <w:rFonts w:ascii="Times New Roman" w:hAnsi="Times New Roman" w:cs="Times New Roman"/>
                <w:color w:val="auto"/>
              </w:rPr>
              <w:t>参照《环境空气质量标准》(GB3095-2012)二级标准中24小时平均值为</w:t>
            </w:r>
            <w:r>
              <w:rPr>
                <w:rFonts w:hint="eastAsia" w:ascii="Times New Roman" w:hAnsi="Times New Roman" w:cs="Times New Roman"/>
                <w:color w:val="auto"/>
                <w:lang w:val="en-US" w:eastAsia="zh-CN"/>
              </w:rPr>
              <w:t>150</w:t>
            </w:r>
            <w:r>
              <w:rPr>
                <w:rFonts w:ascii="Times New Roman" w:hAnsi="Times New Roman" w:cs="Times New Roman"/>
                <w:color w:val="auto"/>
              </w:rPr>
              <w:t>μg/m</w:t>
            </w:r>
            <w:r>
              <w:rPr>
                <w:rFonts w:ascii="Times New Roman" w:hAnsi="Times New Roman" w:cs="Times New Roman"/>
                <w:color w:val="auto"/>
                <w:vertAlign w:val="superscript"/>
              </w:rPr>
              <w:t>3</w:t>
            </w:r>
            <w:r>
              <w:rPr>
                <w:rFonts w:ascii="Times New Roman" w:hAnsi="Times New Roman" w:cs="Times New Roman"/>
                <w:color w:val="auto"/>
              </w:rPr>
              <w:t>，折算为1h平均质量浓度限值为</w:t>
            </w:r>
            <w:r>
              <w:rPr>
                <w:rFonts w:hint="eastAsia" w:ascii="Times New Roman" w:hAnsi="Times New Roman" w:cs="Times New Roman"/>
                <w:color w:val="auto"/>
                <w:lang w:val="en-US" w:eastAsia="zh-CN"/>
              </w:rPr>
              <w:t>454.5</w:t>
            </w:r>
            <w:r>
              <w:rPr>
                <w:rFonts w:ascii="Times New Roman" w:hAnsi="Times New Roman" w:cs="Times New Roman"/>
                <w:color w:val="auto"/>
              </w:rPr>
              <w:t>μg/m</w:t>
            </w:r>
            <w:r>
              <w:rPr>
                <w:rFonts w:ascii="Times New Roman" w:hAnsi="Times New Roman" w:cs="Times New Roman"/>
                <w:color w:val="auto"/>
                <w:vertAlign w:val="superscript"/>
              </w:rPr>
              <w:t>3</w:t>
            </w:r>
            <w:r>
              <w:rPr>
                <w:rFonts w:ascii="Times New Roman" w:hAnsi="Times New Roman" w:cs="Times New Roman"/>
                <w:color w:val="auto"/>
              </w:rPr>
              <w:t>。</w:t>
            </w:r>
            <w:r>
              <w:rPr>
                <w:rFonts w:hint="eastAsia" w:ascii="Times New Roman" w:hAnsi="Times New Roman" w:cs="Times New Roman"/>
                <w:color w:val="auto"/>
              </w:rPr>
              <w:t>SO</w:t>
            </w:r>
            <w:r>
              <w:rPr>
                <w:rFonts w:hint="eastAsia" w:ascii="Times New Roman" w:hAnsi="Times New Roman" w:cs="Times New Roman"/>
                <w:color w:val="auto"/>
                <w:vertAlign w:val="subscript"/>
              </w:rPr>
              <w:t>2</w:t>
            </w:r>
            <w:r>
              <w:rPr>
                <w:rFonts w:hint="eastAsia" w:ascii="Times New Roman" w:hAnsi="Times New Roman" w:cs="Times New Roman"/>
                <w:color w:val="auto"/>
              </w:rPr>
              <w:t>参照</w:t>
            </w:r>
            <w:r>
              <w:rPr>
                <w:rFonts w:ascii="Times New Roman" w:hAnsi="Times New Roman" w:cs="Times New Roman"/>
                <w:color w:val="auto"/>
              </w:rPr>
              <w:t>《环境空气质量标准》(GB3095-2012)二级标准中</w:t>
            </w:r>
            <w:r>
              <w:rPr>
                <w:rFonts w:hint="eastAsia" w:ascii="Times New Roman" w:hAnsi="Times New Roman" w:cs="Times New Roman"/>
                <w:color w:val="auto"/>
              </w:rPr>
              <w:t>1</w:t>
            </w:r>
            <w:r>
              <w:rPr>
                <w:rFonts w:ascii="Times New Roman" w:hAnsi="Times New Roman" w:cs="Times New Roman"/>
                <w:color w:val="auto"/>
              </w:rPr>
              <w:t>小时均值为</w:t>
            </w:r>
            <w:r>
              <w:rPr>
                <w:rFonts w:hint="eastAsia" w:ascii="Times New Roman" w:hAnsi="Times New Roman" w:cs="Times New Roman"/>
                <w:color w:val="auto"/>
              </w:rPr>
              <w:t>5</w:t>
            </w:r>
            <w:r>
              <w:rPr>
                <w:rFonts w:ascii="Times New Roman" w:hAnsi="Times New Roman" w:cs="Times New Roman"/>
                <w:color w:val="auto"/>
              </w:rPr>
              <w:t>00μg/m</w:t>
            </w:r>
            <w:r>
              <w:rPr>
                <w:rFonts w:ascii="Times New Roman" w:hAnsi="Times New Roman" w:cs="Times New Roman"/>
                <w:color w:val="auto"/>
                <w:vertAlign w:val="superscript"/>
              </w:rPr>
              <w:t>3</w:t>
            </w:r>
            <w:r>
              <w:rPr>
                <w:rFonts w:hint="eastAsia" w:ascii="Times New Roman" w:hAnsi="Times New Roman" w:cs="Times New Roman"/>
                <w:color w:val="auto"/>
              </w:rPr>
              <w:t>；NO</w:t>
            </w:r>
            <w:r>
              <w:rPr>
                <w:rFonts w:hint="eastAsia" w:ascii="Times New Roman" w:hAnsi="Times New Roman" w:cs="Times New Roman"/>
                <w:color w:val="auto"/>
                <w:vertAlign w:val="subscript"/>
              </w:rPr>
              <w:t>X</w:t>
            </w:r>
            <w:r>
              <w:rPr>
                <w:rFonts w:hint="eastAsia" w:ascii="Times New Roman" w:hAnsi="Times New Roman" w:cs="Times New Roman"/>
                <w:color w:val="auto"/>
              </w:rPr>
              <w:t>参照</w:t>
            </w:r>
            <w:r>
              <w:rPr>
                <w:rFonts w:ascii="Times New Roman" w:hAnsi="Times New Roman" w:cs="Times New Roman"/>
                <w:color w:val="auto"/>
              </w:rPr>
              <w:t>《环境空气质量标准》(GB3095-2012)二级标准中</w:t>
            </w:r>
            <w:r>
              <w:rPr>
                <w:rFonts w:hint="eastAsia" w:ascii="Times New Roman" w:hAnsi="Times New Roman" w:cs="Times New Roman"/>
                <w:color w:val="auto"/>
              </w:rPr>
              <w:t>1</w:t>
            </w:r>
            <w:r>
              <w:rPr>
                <w:rFonts w:ascii="Times New Roman" w:hAnsi="Times New Roman" w:cs="Times New Roman"/>
                <w:color w:val="auto"/>
              </w:rPr>
              <w:t>小时均值为</w:t>
            </w:r>
            <w:r>
              <w:rPr>
                <w:rFonts w:hint="eastAsia" w:ascii="Times New Roman" w:hAnsi="Times New Roman" w:cs="Times New Roman"/>
                <w:color w:val="auto"/>
              </w:rPr>
              <w:t>25</w:t>
            </w:r>
            <w:r>
              <w:rPr>
                <w:rFonts w:ascii="Times New Roman" w:hAnsi="Times New Roman" w:cs="Times New Roman"/>
                <w:color w:val="auto"/>
              </w:rPr>
              <w:t>0μg/m</w:t>
            </w:r>
            <w:r>
              <w:rPr>
                <w:rFonts w:ascii="Times New Roman" w:hAnsi="Times New Roman" w:cs="Times New Roman"/>
                <w:color w:val="auto"/>
                <w:vertAlign w:val="superscript"/>
              </w:rPr>
              <w:t>3</w:t>
            </w:r>
            <w:r>
              <w:rPr>
                <w:rFonts w:ascii="Times New Roman" w:hAnsi="Times New Roman" w:cs="Times New Roman"/>
                <w:color w:val="auto"/>
              </w:rPr>
              <w:t>。</w:t>
            </w:r>
          </w:p>
          <w:p>
            <w:pPr>
              <w:pStyle w:val="29"/>
              <w:spacing w:line="520" w:lineRule="exact"/>
              <w:ind w:firstLine="480"/>
              <w:rPr>
                <w:rFonts w:ascii="Times New Roman" w:hAnsi="Times New Roman" w:cs="Times New Roman"/>
                <w:color w:val="auto"/>
              </w:rPr>
            </w:pPr>
            <w:r>
              <w:rPr>
                <w:rFonts w:ascii="Times New Roman" w:hAnsi="Times New Roman" w:cs="Times New Roman"/>
                <w:color w:val="auto"/>
              </w:rPr>
              <w:t>由图7-</w:t>
            </w:r>
            <w:r>
              <w:rPr>
                <w:rFonts w:hint="eastAsia" w:ascii="Times New Roman" w:hAnsi="Times New Roman" w:cs="Times New Roman"/>
                <w:color w:val="auto"/>
              </w:rPr>
              <w:t>2</w:t>
            </w:r>
            <w:r>
              <w:rPr>
                <w:rFonts w:ascii="Times New Roman" w:hAnsi="Times New Roman" w:cs="Times New Roman"/>
                <w:color w:val="auto"/>
              </w:rPr>
              <w:t>、图7-</w:t>
            </w:r>
            <w:r>
              <w:rPr>
                <w:rFonts w:hint="eastAsia" w:ascii="Times New Roman" w:hAnsi="Times New Roman" w:cs="Times New Roman"/>
                <w:color w:val="auto"/>
              </w:rPr>
              <w:t>3</w:t>
            </w:r>
            <w:r>
              <w:rPr>
                <w:rFonts w:ascii="Times New Roman" w:hAnsi="Times New Roman" w:cs="Times New Roman"/>
                <w:color w:val="auto"/>
              </w:rPr>
              <w:t>可知，项目运营期</w:t>
            </w:r>
            <w:r>
              <w:rPr>
                <w:rFonts w:hint="eastAsia" w:ascii="Times New Roman" w:hAnsi="Times New Roman" w:cs="Times New Roman"/>
                <w:color w:val="auto"/>
              </w:rPr>
              <w:t>有</w:t>
            </w:r>
            <w:r>
              <w:rPr>
                <w:rFonts w:ascii="Times New Roman" w:hAnsi="Times New Roman" w:cs="Times New Roman"/>
                <w:color w:val="auto"/>
              </w:rPr>
              <w:t>组织排放</w:t>
            </w:r>
            <w:r>
              <w:rPr>
                <w:rFonts w:hint="eastAsia" w:ascii="Times New Roman" w:hAnsi="Times New Roman" w:cs="Times New Roman"/>
                <w:color w:val="auto"/>
              </w:rPr>
              <w:t>NO</w:t>
            </w:r>
            <w:r>
              <w:rPr>
                <w:rFonts w:hint="eastAsia" w:ascii="Times New Roman" w:hAnsi="Times New Roman" w:cs="Times New Roman"/>
                <w:color w:val="auto"/>
                <w:vertAlign w:val="subscript"/>
              </w:rPr>
              <w:t>X</w:t>
            </w:r>
            <w:r>
              <w:rPr>
                <w:rFonts w:ascii="Times New Roman" w:hAnsi="Times New Roman" w:cs="Times New Roman"/>
                <w:color w:val="auto"/>
              </w:rPr>
              <w:t>最大占标率为</w:t>
            </w:r>
            <w:r>
              <w:rPr>
                <w:rFonts w:hint="eastAsia" w:ascii="Times New Roman" w:hAnsi="Times New Roman" w:cs="Times New Roman"/>
                <w:color w:val="auto"/>
              </w:rPr>
              <w:t>1.05</w:t>
            </w:r>
            <w:r>
              <w:rPr>
                <w:rFonts w:ascii="Times New Roman" w:hAnsi="Times New Roman" w:cs="Times New Roman"/>
                <w:color w:val="auto"/>
              </w:rPr>
              <w:t>%、最大落地浓度为0.00</w:t>
            </w:r>
            <w:r>
              <w:rPr>
                <w:rFonts w:hint="eastAsia" w:ascii="Times New Roman" w:hAnsi="Times New Roman" w:cs="Times New Roman"/>
                <w:color w:val="auto"/>
              </w:rPr>
              <w:t>2</w:t>
            </w:r>
            <w:r>
              <w:rPr>
                <w:rFonts w:hint="eastAsia" w:ascii="Times New Roman" w:hAnsi="Times New Roman" w:cs="Times New Roman"/>
                <w:color w:val="auto"/>
                <w:lang w:val="en-US" w:eastAsia="zh-CN"/>
              </w:rPr>
              <w:t>10</w:t>
            </w:r>
            <w:r>
              <w:rPr>
                <w:rFonts w:ascii="Times New Roman" w:hAnsi="Times New Roman" w:cs="Times New Roman"/>
                <w:color w:val="auto"/>
              </w:rPr>
              <w:t>mg/m³；</w:t>
            </w:r>
            <w:r>
              <w:rPr>
                <w:rFonts w:hint="eastAsia" w:ascii="Times New Roman" w:hAnsi="Times New Roman" w:cs="Times New Roman"/>
                <w:color w:val="auto"/>
              </w:rPr>
              <w:t>有</w:t>
            </w:r>
            <w:r>
              <w:rPr>
                <w:rFonts w:ascii="Times New Roman" w:hAnsi="Times New Roman" w:cs="Times New Roman"/>
                <w:color w:val="auto"/>
              </w:rPr>
              <w:t>组织排放</w:t>
            </w:r>
            <w:r>
              <w:rPr>
                <w:rFonts w:hint="eastAsia" w:ascii="Times New Roman" w:hAnsi="Times New Roman" w:cs="Times New Roman"/>
                <w:color w:val="auto"/>
              </w:rPr>
              <w:t>SO</w:t>
            </w:r>
            <w:r>
              <w:rPr>
                <w:rFonts w:hint="eastAsia" w:ascii="Times New Roman" w:hAnsi="Times New Roman" w:cs="Times New Roman"/>
                <w:color w:val="auto"/>
                <w:vertAlign w:val="subscript"/>
              </w:rPr>
              <w:t>2</w:t>
            </w:r>
            <w:r>
              <w:rPr>
                <w:rFonts w:ascii="Times New Roman" w:hAnsi="Times New Roman" w:cs="Times New Roman"/>
                <w:color w:val="auto"/>
              </w:rPr>
              <w:t>最大占标率为</w:t>
            </w:r>
            <w:r>
              <w:rPr>
                <w:rFonts w:hint="eastAsia" w:ascii="Times New Roman" w:hAnsi="Times New Roman" w:cs="Times New Roman"/>
                <w:color w:val="auto"/>
              </w:rPr>
              <w:t>0.</w:t>
            </w:r>
            <w:r>
              <w:rPr>
                <w:rFonts w:hint="eastAsia" w:ascii="Times New Roman" w:hAnsi="Times New Roman" w:cs="Times New Roman"/>
                <w:color w:val="auto"/>
                <w:lang w:val="en-US" w:eastAsia="zh-CN"/>
              </w:rPr>
              <w:t>47</w:t>
            </w:r>
            <w:r>
              <w:rPr>
                <w:rFonts w:ascii="Times New Roman" w:hAnsi="Times New Roman" w:cs="Times New Roman"/>
                <w:color w:val="auto"/>
              </w:rPr>
              <w:t>%，最大落地浓度为0.00</w:t>
            </w:r>
            <w:r>
              <w:rPr>
                <w:rFonts w:hint="eastAsia" w:ascii="Times New Roman" w:hAnsi="Times New Roman" w:cs="Times New Roman"/>
                <w:color w:val="auto"/>
                <w:lang w:val="en-US" w:eastAsia="zh-CN"/>
              </w:rPr>
              <w:t>237</w:t>
            </w:r>
            <w:r>
              <w:rPr>
                <w:rFonts w:ascii="Times New Roman" w:hAnsi="Times New Roman" w:cs="Times New Roman"/>
                <w:color w:val="auto"/>
              </w:rPr>
              <w:t>mg/m³，</w:t>
            </w:r>
            <w:r>
              <w:rPr>
                <w:rFonts w:hint="eastAsia" w:ascii="Times New Roman" w:hAnsi="Times New Roman" w:cs="Times New Roman"/>
                <w:color w:val="auto"/>
              </w:rPr>
              <w:t>有组织</w:t>
            </w:r>
            <w:r>
              <w:rPr>
                <w:rFonts w:ascii="Times New Roman" w:hAnsi="Times New Roman" w:cs="Times New Roman"/>
                <w:color w:val="auto"/>
              </w:rPr>
              <w:t>排放</w:t>
            </w:r>
            <w:r>
              <w:rPr>
                <w:rFonts w:hint="eastAsia" w:ascii="Times New Roman" w:hAnsi="Times New Roman" w:cs="Times New Roman"/>
                <w:b w:val="0"/>
                <w:bCs w:val="0"/>
                <w:color w:val="auto"/>
                <w:lang w:val="en-US" w:eastAsia="zh-CN"/>
              </w:rPr>
              <w:t>PM</w:t>
            </w:r>
            <w:r>
              <w:rPr>
                <w:rFonts w:hint="eastAsia" w:ascii="Times New Roman" w:hAnsi="Times New Roman" w:cs="Times New Roman"/>
                <w:b w:val="0"/>
                <w:bCs w:val="0"/>
                <w:color w:val="auto"/>
                <w:vertAlign w:val="subscript"/>
                <w:lang w:val="en-US" w:eastAsia="zh-CN"/>
              </w:rPr>
              <w:t>10</w:t>
            </w:r>
            <w:r>
              <w:rPr>
                <w:rFonts w:ascii="Times New Roman" w:hAnsi="Times New Roman" w:cs="Times New Roman"/>
                <w:color w:val="auto"/>
              </w:rPr>
              <w:t>最大占标率为</w:t>
            </w:r>
            <w:r>
              <w:rPr>
                <w:rFonts w:hint="eastAsia" w:ascii="Times New Roman" w:hAnsi="Times New Roman" w:cs="Times New Roman"/>
                <w:color w:val="auto"/>
              </w:rPr>
              <w:t>0.</w:t>
            </w:r>
            <w:r>
              <w:rPr>
                <w:rFonts w:hint="eastAsia" w:ascii="Times New Roman" w:hAnsi="Times New Roman" w:cs="Times New Roman"/>
                <w:color w:val="auto"/>
                <w:lang w:val="en-US" w:eastAsia="zh-CN"/>
              </w:rPr>
              <w:t>16</w:t>
            </w:r>
            <w:r>
              <w:rPr>
                <w:rFonts w:ascii="Times New Roman" w:hAnsi="Times New Roman" w:cs="Times New Roman"/>
                <w:color w:val="auto"/>
              </w:rPr>
              <w:t>%，最大落地浓</w:t>
            </w:r>
            <w:r>
              <w:rPr>
                <w:rFonts w:hint="eastAsia" w:ascii="Times New Roman" w:hAnsi="Times New Roman" w:cs="Times New Roman"/>
                <w:color w:val="auto"/>
              </w:rPr>
              <w:t>度为</w:t>
            </w:r>
            <w:r>
              <w:rPr>
                <w:rFonts w:ascii="Times New Roman" w:hAnsi="Times New Roman" w:cs="Times New Roman"/>
                <w:color w:val="auto"/>
              </w:rPr>
              <w:t>0.00</w:t>
            </w:r>
            <w:r>
              <w:rPr>
                <w:rFonts w:hint="eastAsia" w:ascii="Times New Roman" w:hAnsi="Times New Roman" w:cs="Times New Roman"/>
                <w:color w:val="auto"/>
                <w:lang w:val="en-US" w:eastAsia="zh-CN"/>
              </w:rPr>
              <w:t>142</w:t>
            </w:r>
            <w:r>
              <w:rPr>
                <w:rFonts w:ascii="Times New Roman" w:hAnsi="Times New Roman" w:cs="Times New Roman"/>
                <w:color w:val="auto"/>
              </w:rPr>
              <w:t>mg/m³</w:t>
            </w:r>
            <w:r>
              <w:rPr>
                <w:rFonts w:hint="eastAsia" w:ascii="Times New Roman" w:hAnsi="Times New Roman" w:cs="Times New Roman"/>
                <w:color w:val="auto"/>
              </w:rPr>
              <w:t>，</w:t>
            </w:r>
            <w:r>
              <w:rPr>
                <w:rFonts w:ascii="Times New Roman" w:hAnsi="Times New Roman" w:cs="Times New Roman"/>
                <w:color w:val="auto"/>
              </w:rPr>
              <w:t>距离源中心</w:t>
            </w:r>
            <w:r>
              <w:rPr>
                <w:rFonts w:hint="eastAsia" w:ascii="Times New Roman" w:hAnsi="Times New Roman" w:cs="Times New Roman"/>
                <w:color w:val="auto"/>
              </w:rPr>
              <w:t>500</w:t>
            </w:r>
            <w:r>
              <w:rPr>
                <w:rFonts w:ascii="Times New Roman" w:hAnsi="Times New Roman" w:cs="Times New Roman"/>
                <w:color w:val="auto"/>
              </w:rPr>
              <w:t>m，由此可见项目运营期废气外排对周边环境影响很小，项目产生的废气未出现超标点。根据大气评价工作分级判据，本项目环境空气影响评价工作等级定为</w:t>
            </w:r>
            <w:r>
              <w:rPr>
                <w:rFonts w:hint="eastAsia" w:ascii="Times New Roman" w:hAnsi="Times New Roman" w:cs="Times New Roman"/>
                <w:color w:val="auto"/>
              </w:rPr>
              <w:t>二</w:t>
            </w:r>
            <w:r>
              <w:rPr>
                <w:rFonts w:ascii="Times New Roman" w:hAnsi="Times New Roman" w:cs="Times New Roman"/>
                <w:color w:val="auto"/>
              </w:rPr>
              <w:t>级，不进行进一步预测和分析</w:t>
            </w:r>
            <w:r>
              <w:rPr>
                <w:rFonts w:hint="eastAsia" w:ascii="Times New Roman" w:hAnsi="Times New Roman" w:cs="Times New Roman"/>
                <w:color w:val="auto"/>
              </w:rPr>
              <w:t>，只对污染物排放量进行核算。</w:t>
            </w:r>
          </w:p>
          <w:p>
            <w:pPr>
              <w:spacing w:line="360" w:lineRule="auto"/>
              <w:jc w:val="center"/>
              <w:rPr>
                <w:rFonts w:ascii="Times New Roman" w:hAnsi="Times New Roman" w:cs="Times New Roman"/>
                <w:b/>
                <w:bCs/>
                <w:color w:val="auto"/>
              </w:rPr>
            </w:pPr>
            <w:r>
              <w:rPr>
                <w:rFonts w:hint="eastAsia" w:ascii="Times New Roman" w:hAnsi="Times New Roman" w:cs="Times New Roman"/>
                <w:b/>
                <w:bCs/>
                <w:color w:val="auto"/>
              </w:rPr>
              <w:t>表7-7  大气污染物有组织排放量核算表</w:t>
            </w:r>
          </w:p>
          <w:tbl>
            <w:tblPr>
              <w:tblStyle w:val="18"/>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63"/>
              <w:gridCol w:w="1342"/>
              <w:gridCol w:w="1125"/>
              <w:gridCol w:w="2220"/>
              <w:gridCol w:w="2265"/>
              <w:gridCol w:w="165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ascii="Times New Roman" w:hAnsi="Times New Roman" w:cs="Times New Roman"/>
                      <w:b/>
                      <w:bCs/>
                      <w:color w:val="auto"/>
                      <w:sz w:val="21"/>
                      <w:szCs w:val="21"/>
                    </w:rPr>
                    <w:t>序号</w:t>
                  </w:r>
                </w:p>
              </w:tc>
              <w:tc>
                <w:tcPr>
                  <w:tcW w:w="1342"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hint="eastAsia" w:ascii="Times New Roman" w:hAnsi="Times New Roman" w:cs="Times New Roman"/>
                      <w:b/>
                      <w:bCs/>
                      <w:color w:val="auto"/>
                      <w:sz w:val="21"/>
                      <w:szCs w:val="21"/>
                    </w:rPr>
                    <w:t>排放口编号</w:t>
                  </w:r>
                </w:p>
              </w:tc>
              <w:tc>
                <w:tcPr>
                  <w:tcW w:w="1125"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hint="eastAsia" w:ascii="Times New Roman" w:hAnsi="Times New Roman" w:cs="Times New Roman"/>
                      <w:b/>
                      <w:bCs/>
                      <w:color w:val="auto"/>
                      <w:sz w:val="21"/>
                      <w:szCs w:val="21"/>
                    </w:rPr>
                    <w:t>污染物</w:t>
                  </w:r>
                </w:p>
              </w:tc>
              <w:tc>
                <w:tcPr>
                  <w:tcW w:w="2220"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hint="eastAsia" w:ascii="Times New Roman" w:hAnsi="Times New Roman" w:cs="Times New Roman"/>
                      <w:b/>
                      <w:bCs/>
                      <w:color w:val="auto"/>
                      <w:sz w:val="21"/>
                      <w:szCs w:val="21"/>
                    </w:rPr>
                    <w:t>核算排放浓度（</w:t>
                  </w:r>
                  <w:r>
                    <w:rPr>
                      <w:rFonts w:hint="eastAsia" w:ascii="宋体" w:hAnsi="宋体" w:eastAsia="宋体" w:cs="宋体"/>
                      <w:b/>
                      <w:bCs/>
                      <w:color w:val="auto"/>
                      <w:sz w:val="21"/>
                      <w:szCs w:val="21"/>
                    </w:rPr>
                    <w:t>m</w:t>
                  </w:r>
                  <w:r>
                    <w:rPr>
                      <w:rFonts w:hint="eastAsia" w:ascii="Times New Roman" w:hAnsi="Times New Roman" w:cs="Times New Roman"/>
                      <w:b/>
                      <w:bCs/>
                      <w:color w:val="auto"/>
                      <w:sz w:val="21"/>
                      <w:szCs w:val="21"/>
                    </w:rPr>
                    <w:t>g/m</w:t>
                  </w:r>
                  <w:r>
                    <w:rPr>
                      <w:rFonts w:hint="eastAsia" w:ascii="Times New Roman" w:hAnsi="Times New Roman" w:cs="Times New Roman"/>
                      <w:b/>
                      <w:bCs/>
                      <w:color w:val="auto"/>
                      <w:sz w:val="21"/>
                      <w:szCs w:val="21"/>
                      <w:vertAlign w:val="superscript"/>
                    </w:rPr>
                    <w:t>3</w:t>
                  </w:r>
                  <w:r>
                    <w:rPr>
                      <w:rFonts w:hint="eastAsia" w:ascii="Times New Roman" w:hAnsi="Times New Roman" w:cs="Times New Roman"/>
                      <w:b/>
                      <w:bCs/>
                      <w:color w:val="auto"/>
                      <w:sz w:val="21"/>
                      <w:szCs w:val="21"/>
                    </w:rPr>
                    <w:t>）</w:t>
                  </w:r>
                </w:p>
              </w:tc>
              <w:tc>
                <w:tcPr>
                  <w:tcW w:w="2265"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hint="eastAsia" w:ascii="Times New Roman" w:hAnsi="Times New Roman" w:eastAsia="宋体" w:cs="Times New Roman"/>
                      <w:b/>
                      <w:bCs/>
                      <w:color w:val="auto"/>
                      <w:sz w:val="21"/>
                      <w:szCs w:val="21"/>
                    </w:rPr>
                    <w:t>核算排放速率（kg/h）</w:t>
                  </w:r>
                </w:p>
              </w:tc>
              <w:tc>
                <w:tcPr>
                  <w:tcW w:w="1655"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hint="eastAsia" w:ascii="Times New Roman" w:hAnsi="Times New Roman" w:cs="Times New Roman"/>
                      <w:b/>
                      <w:bCs/>
                      <w:color w:val="auto"/>
                      <w:sz w:val="21"/>
                      <w:szCs w:val="21"/>
                    </w:rPr>
                    <w:t>核算年排放量（t/a）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0" w:type="dxa"/>
                  <w:gridSpan w:val="6"/>
                  <w:tcBorders>
                    <w:top w:val="single" w:color="auto" w:sz="12" w:space="0"/>
                    <w:tl2br w:val="nil"/>
                    <w:tr2bl w:val="nil"/>
                  </w:tcBorders>
                  <w:vAlign w:val="center"/>
                </w:tcPr>
                <w:p>
                  <w:pPr>
                    <w:spacing w:line="24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eastAsia="zh-CN"/>
                    </w:rPr>
                    <w:t>一般</w:t>
                  </w:r>
                  <w:r>
                    <w:rPr>
                      <w:rFonts w:hint="eastAsia" w:ascii="Times New Roman" w:hAnsi="Times New Roman" w:eastAsia="宋体" w:cs="Times New Roman"/>
                      <w:color w:val="auto"/>
                      <w:sz w:val="21"/>
                      <w:szCs w:val="21"/>
                    </w:rPr>
                    <w:t>排放口</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w:t>
                  </w:r>
                </w:p>
              </w:tc>
              <w:tc>
                <w:tcPr>
                  <w:tcW w:w="1342" w:type="dxa"/>
                  <w:vMerge w:val="restar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DA001</w:t>
                  </w:r>
                </w:p>
              </w:tc>
              <w:tc>
                <w:tcPr>
                  <w:tcW w:w="1125" w:type="dxa"/>
                  <w:tcBorders>
                    <w:tl2br w:val="nil"/>
                    <w:tr2bl w:val="nil"/>
                  </w:tcBorders>
                  <w:vAlign w:val="center"/>
                </w:tcPr>
                <w:p>
                  <w:pPr>
                    <w:spacing w:line="24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PM</w:t>
                  </w:r>
                  <w:r>
                    <w:rPr>
                      <w:rFonts w:hint="eastAsia" w:ascii="Times New Roman" w:hAnsi="Times New Roman" w:eastAsia="宋体" w:cs="Times New Roman"/>
                      <w:color w:val="auto"/>
                      <w:sz w:val="21"/>
                      <w:szCs w:val="21"/>
                      <w:vertAlign w:val="subscript"/>
                      <w:lang w:val="en-US" w:eastAsia="zh-CN"/>
                    </w:rPr>
                    <w:t>10</w:t>
                  </w:r>
                </w:p>
              </w:tc>
              <w:tc>
                <w:tcPr>
                  <w:tcW w:w="2220" w:type="dxa"/>
                  <w:tcBorders>
                    <w:tl2br w:val="nil"/>
                    <w:tr2bl w:val="nil"/>
                  </w:tcBorders>
                  <w:vAlign w:val="center"/>
                </w:tcPr>
                <w:p>
                  <w:pPr>
                    <w:pStyle w:val="15"/>
                    <w:spacing w:after="0" w:line="240" w:lineRule="auto"/>
                    <w:ind w:firstLine="0" w:firstLineChars="0"/>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10</w:t>
                  </w:r>
                </w:p>
              </w:tc>
              <w:tc>
                <w:tcPr>
                  <w:tcW w:w="2265" w:type="dxa"/>
                  <w:tcBorders>
                    <w:tl2br w:val="nil"/>
                    <w:tr2bl w:val="nil"/>
                  </w:tcBorders>
                  <w:vAlign w:val="center"/>
                </w:tcPr>
                <w:p>
                  <w:pPr>
                    <w:pStyle w:val="15"/>
                    <w:spacing w:after="0"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rPr>
                    <w:t>0.</w:t>
                  </w:r>
                  <w:r>
                    <w:rPr>
                      <w:rFonts w:hint="eastAsia" w:ascii="Times New Roman" w:hAnsi="Times New Roman" w:cs="Times New Roman"/>
                      <w:color w:val="auto"/>
                      <w:sz w:val="21"/>
                      <w:szCs w:val="21"/>
                      <w:lang w:val="en-US" w:eastAsia="zh-CN"/>
                    </w:rPr>
                    <w:t>25</w:t>
                  </w:r>
                </w:p>
              </w:tc>
              <w:tc>
                <w:tcPr>
                  <w:tcW w:w="1655" w:type="dxa"/>
                  <w:tcBorders>
                    <w:tl2br w:val="nil"/>
                    <w:tr2bl w:val="nil"/>
                  </w:tcBorders>
                  <w:vAlign w:val="center"/>
                </w:tcPr>
                <w:p>
                  <w:pPr>
                    <w:pStyle w:val="15"/>
                    <w:spacing w:after="0"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0.36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w:t>
                  </w:r>
                </w:p>
              </w:tc>
              <w:tc>
                <w:tcPr>
                  <w:tcW w:w="1342"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125" w:type="dxa"/>
                  <w:tcBorders>
                    <w:tl2br w:val="nil"/>
                    <w:tr2bl w:val="nil"/>
                  </w:tcBorders>
                  <w:vAlign w:val="center"/>
                </w:tcPr>
                <w:p>
                  <w:pPr>
                    <w:spacing w:line="24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SO</w:t>
                  </w:r>
                  <w:r>
                    <w:rPr>
                      <w:rFonts w:hint="eastAsia" w:ascii="Times New Roman" w:hAnsi="Times New Roman" w:eastAsia="宋体" w:cs="Times New Roman"/>
                      <w:color w:val="auto"/>
                      <w:sz w:val="21"/>
                      <w:szCs w:val="21"/>
                      <w:vertAlign w:val="subscript"/>
                    </w:rPr>
                    <w:t>2</w:t>
                  </w:r>
                </w:p>
              </w:tc>
              <w:tc>
                <w:tcPr>
                  <w:tcW w:w="2220" w:type="dxa"/>
                  <w:tcBorders>
                    <w:tl2br w:val="nil"/>
                    <w:tr2bl w:val="nil"/>
                  </w:tcBorders>
                  <w:vAlign w:val="center"/>
                </w:tcPr>
                <w:p>
                  <w:pPr>
                    <w:pStyle w:val="15"/>
                    <w:spacing w:after="0" w:line="240" w:lineRule="auto"/>
                    <w:ind w:firstLine="0" w:firstLineChars="0"/>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10</w:t>
                  </w:r>
                </w:p>
              </w:tc>
              <w:tc>
                <w:tcPr>
                  <w:tcW w:w="2265" w:type="dxa"/>
                  <w:tcBorders>
                    <w:tl2br w:val="nil"/>
                    <w:tr2bl w:val="nil"/>
                  </w:tcBorders>
                  <w:vAlign w:val="center"/>
                </w:tcPr>
                <w:p>
                  <w:pPr>
                    <w:pStyle w:val="15"/>
                    <w:spacing w:after="0"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rPr>
                    <w:t>0.</w:t>
                  </w:r>
                  <w:r>
                    <w:rPr>
                      <w:rFonts w:hint="eastAsia" w:ascii="Times New Roman" w:hAnsi="Times New Roman" w:cs="Times New Roman"/>
                      <w:color w:val="auto"/>
                      <w:sz w:val="21"/>
                      <w:szCs w:val="21"/>
                      <w:lang w:val="en-US" w:eastAsia="zh-CN"/>
                    </w:rPr>
                    <w:t>416</w:t>
                  </w:r>
                </w:p>
              </w:tc>
              <w:tc>
                <w:tcPr>
                  <w:tcW w:w="1655" w:type="dxa"/>
                  <w:tcBorders>
                    <w:tl2br w:val="nil"/>
                    <w:tr2bl w:val="nil"/>
                  </w:tcBorders>
                  <w:vAlign w:val="center"/>
                </w:tcPr>
                <w:p>
                  <w:pPr>
                    <w:pStyle w:val="15"/>
                    <w:spacing w:after="0"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rPr>
                    <w:t>0.</w:t>
                  </w:r>
                  <w:r>
                    <w:rPr>
                      <w:rFonts w:hint="eastAsia" w:ascii="Times New Roman" w:hAnsi="Times New Roman" w:cs="Times New Roman"/>
                      <w:color w:val="auto"/>
                      <w:sz w:val="21"/>
                      <w:szCs w:val="21"/>
                      <w:lang w:val="en-US" w:eastAsia="zh-CN"/>
                    </w:rPr>
                    <w:t>599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3"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w:t>
                  </w:r>
                </w:p>
              </w:tc>
              <w:tc>
                <w:tcPr>
                  <w:tcW w:w="1342" w:type="dxa"/>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1125" w:type="dxa"/>
                  <w:tcBorders>
                    <w:tl2br w:val="nil"/>
                    <w:tr2bl w:val="nil"/>
                  </w:tcBorders>
                  <w:vAlign w:val="center"/>
                </w:tcPr>
                <w:p>
                  <w:pPr>
                    <w:spacing w:line="24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NO</w:t>
                  </w:r>
                  <w:r>
                    <w:rPr>
                      <w:rFonts w:hint="eastAsia" w:ascii="Times New Roman" w:hAnsi="Times New Roman" w:eastAsia="宋体" w:cs="Times New Roman"/>
                      <w:color w:val="auto"/>
                      <w:sz w:val="21"/>
                      <w:szCs w:val="21"/>
                      <w:vertAlign w:val="subscript"/>
                    </w:rPr>
                    <w:t>X</w:t>
                  </w:r>
                </w:p>
              </w:tc>
              <w:tc>
                <w:tcPr>
                  <w:tcW w:w="2220" w:type="dxa"/>
                  <w:tcBorders>
                    <w:tl2br w:val="nil"/>
                    <w:tr2bl w:val="nil"/>
                  </w:tcBorders>
                  <w:vAlign w:val="center"/>
                </w:tcPr>
                <w:p>
                  <w:pPr>
                    <w:pStyle w:val="15"/>
                    <w:spacing w:after="0" w:line="240" w:lineRule="auto"/>
                    <w:ind w:firstLine="0" w:firstLineChars="0"/>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26</w:t>
                  </w:r>
                </w:p>
              </w:tc>
              <w:tc>
                <w:tcPr>
                  <w:tcW w:w="2265" w:type="dxa"/>
                  <w:tcBorders>
                    <w:tl2br w:val="nil"/>
                    <w:tr2bl w:val="nil"/>
                  </w:tcBorders>
                  <w:vAlign w:val="center"/>
                </w:tcPr>
                <w:p>
                  <w:pPr>
                    <w:pStyle w:val="15"/>
                    <w:spacing w:after="0"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rPr>
                    <w:t>0.3</w:t>
                  </w:r>
                  <w:r>
                    <w:rPr>
                      <w:rFonts w:hint="eastAsia" w:ascii="Times New Roman" w:hAnsi="Times New Roman" w:cs="Times New Roman"/>
                      <w:color w:val="auto"/>
                      <w:sz w:val="21"/>
                      <w:szCs w:val="21"/>
                      <w:lang w:val="en-US" w:eastAsia="zh-CN"/>
                    </w:rPr>
                    <w:t>97</w:t>
                  </w:r>
                </w:p>
              </w:tc>
              <w:tc>
                <w:tcPr>
                  <w:tcW w:w="1655" w:type="dxa"/>
                  <w:tcBorders>
                    <w:tl2br w:val="nil"/>
                    <w:tr2bl w:val="nil"/>
                  </w:tcBorders>
                  <w:vAlign w:val="center"/>
                </w:tcPr>
                <w:p>
                  <w:pPr>
                    <w:pStyle w:val="15"/>
                    <w:spacing w:after="0"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rPr>
                    <w:t>0.5</w:t>
                  </w:r>
                  <w:r>
                    <w:rPr>
                      <w:rFonts w:hint="eastAsia" w:ascii="Times New Roman" w:hAnsi="Times New Roman" w:cs="Times New Roman"/>
                      <w:color w:val="auto"/>
                      <w:sz w:val="21"/>
                      <w:szCs w:val="21"/>
                      <w:lang w:val="en-US" w:eastAsia="zh-CN"/>
                    </w:rPr>
                    <w:t>72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05" w:type="dxa"/>
                  <w:gridSpan w:val="2"/>
                  <w:vMerge w:val="restar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主要排放口合计</w:t>
                  </w:r>
                </w:p>
              </w:tc>
              <w:tc>
                <w:tcPr>
                  <w:tcW w:w="5610" w:type="dxa"/>
                  <w:gridSpan w:val="3"/>
                  <w:tcBorders>
                    <w:tl2br w:val="nil"/>
                    <w:tr2bl w:val="nil"/>
                  </w:tcBorders>
                  <w:vAlign w:val="center"/>
                </w:tcPr>
                <w:p>
                  <w:pPr>
                    <w:spacing w:line="24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eastAsia="宋体" w:cs="Times New Roman"/>
                      <w:color w:val="auto"/>
                      <w:sz w:val="21"/>
                      <w:szCs w:val="21"/>
                      <w:lang w:val="en-US" w:eastAsia="zh-CN"/>
                    </w:rPr>
                    <w:t>PM</w:t>
                  </w:r>
                  <w:r>
                    <w:rPr>
                      <w:rFonts w:hint="eastAsia" w:ascii="Times New Roman" w:hAnsi="Times New Roman" w:eastAsia="宋体" w:cs="Times New Roman"/>
                      <w:color w:val="auto"/>
                      <w:sz w:val="21"/>
                      <w:szCs w:val="21"/>
                      <w:vertAlign w:val="subscript"/>
                      <w:lang w:val="en-US" w:eastAsia="zh-CN"/>
                    </w:rPr>
                    <w:t>10</w:t>
                  </w:r>
                </w:p>
              </w:tc>
              <w:tc>
                <w:tcPr>
                  <w:tcW w:w="1655" w:type="dxa"/>
                  <w:tcBorders>
                    <w:tl2br w:val="nil"/>
                    <w:tr2bl w:val="nil"/>
                  </w:tcBorders>
                  <w:vAlign w:val="center"/>
                </w:tcPr>
                <w:p>
                  <w:pPr>
                    <w:pStyle w:val="15"/>
                    <w:spacing w:after="0"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rPr>
                    <w:t>0.</w:t>
                  </w:r>
                  <w:r>
                    <w:rPr>
                      <w:rFonts w:hint="eastAsia" w:ascii="Times New Roman" w:hAnsi="Times New Roman" w:cs="Times New Roman"/>
                      <w:color w:val="auto"/>
                      <w:sz w:val="21"/>
                      <w:szCs w:val="21"/>
                      <w:lang w:val="en-US" w:eastAsia="zh-CN"/>
                    </w:rPr>
                    <w:t>36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05" w:type="dxa"/>
                  <w:gridSpan w:val="2"/>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5610"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eastAsia="宋体" w:cs="Times New Roman"/>
                      <w:color w:val="auto"/>
                      <w:sz w:val="21"/>
                      <w:szCs w:val="21"/>
                    </w:rPr>
                    <w:t>SO</w:t>
                  </w:r>
                  <w:r>
                    <w:rPr>
                      <w:rFonts w:hint="eastAsia" w:ascii="Times New Roman" w:hAnsi="Times New Roman" w:eastAsia="宋体" w:cs="Times New Roman"/>
                      <w:color w:val="auto"/>
                      <w:sz w:val="21"/>
                      <w:szCs w:val="21"/>
                      <w:vertAlign w:val="subscript"/>
                    </w:rPr>
                    <w:t>2</w:t>
                  </w:r>
                </w:p>
              </w:tc>
              <w:tc>
                <w:tcPr>
                  <w:tcW w:w="1655" w:type="dxa"/>
                  <w:tcBorders>
                    <w:tl2br w:val="nil"/>
                    <w:tr2bl w:val="nil"/>
                  </w:tcBorders>
                  <w:vAlign w:val="center"/>
                </w:tcPr>
                <w:p>
                  <w:pPr>
                    <w:pStyle w:val="15"/>
                    <w:spacing w:after="0"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rPr>
                    <w:t>0.</w:t>
                  </w:r>
                  <w:r>
                    <w:rPr>
                      <w:rFonts w:hint="eastAsia" w:ascii="Times New Roman" w:hAnsi="Times New Roman" w:cs="Times New Roman"/>
                      <w:color w:val="auto"/>
                      <w:sz w:val="21"/>
                      <w:szCs w:val="21"/>
                      <w:lang w:val="en-US" w:eastAsia="zh-CN"/>
                    </w:rPr>
                    <w:t>599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05" w:type="dxa"/>
                  <w:gridSpan w:val="2"/>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5610" w:type="dxa"/>
                  <w:gridSpan w:val="3"/>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eastAsia="宋体" w:cs="Times New Roman"/>
                      <w:color w:val="auto"/>
                      <w:sz w:val="21"/>
                      <w:szCs w:val="21"/>
                    </w:rPr>
                    <w:t>NO</w:t>
                  </w:r>
                  <w:r>
                    <w:rPr>
                      <w:rFonts w:hint="eastAsia" w:ascii="Times New Roman" w:hAnsi="Times New Roman" w:eastAsia="宋体" w:cs="Times New Roman"/>
                      <w:color w:val="auto"/>
                      <w:sz w:val="21"/>
                      <w:szCs w:val="21"/>
                      <w:vertAlign w:val="subscript"/>
                    </w:rPr>
                    <w:t>X</w:t>
                  </w:r>
                </w:p>
              </w:tc>
              <w:tc>
                <w:tcPr>
                  <w:tcW w:w="1655" w:type="dxa"/>
                  <w:tcBorders>
                    <w:tl2br w:val="nil"/>
                    <w:tr2bl w:val="nil"/>
                  </w:tcBorders>
                  <w:vAlign w:val="center"/>
                </w:tcPr>
                <w:p>
                  <w:pPr>
                    <w:pStyle w:val="15"/>
                    <w:spacing w:after="0" w:line="240" w:lineRule="auto"/>
                    <w:ind w:firstLine="0" w:firstLineChars="0"/>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0.531</w:t>
                  </w:r>
                </w:p>
              </w:tc>
            </w:tr>
          </w:tbl>
          <w:p>
            <w:pPr>
              <w:spacing w:line="360" w:lineRule="auto"/>
              <w:jc w:val="center"/>
              <w:rPr>
                <w:rFonts w:ascii="Times New Roman" w:hAnsi="Times New Roman" w:cs="Times New Roman"/>
                <w:b/>
                <w:bCs/>
                <w:color w:val="auto"/>
              </w:rPr>
            </w:pPr>
            <w:r>
              <w:rPr>
                <w:rFonts w:hint="eastAsia" w:ascii="Times New Roman" w:hAnsi="Times New Roman" w:cs="Times New Roman"/>
                <w:b/>
                <w:bCs/>
                <w:color w:val="auto"/>
              </w:rPr>
              <w:t>表7-8  大气污染物年排放量核算表</w:t>
            </w:r>
          </w:p>
          <w:tbl>
            <w:tblPr>
              <w:tblStyle w:val="18"/>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4275"/>
              <w:gridCol w:w="392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5"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ascii="Times New Roman" w:hAnsi="Times New Roman" w:cs="Times New Roman"/>
                      <w:b/>
                      <w:bCs/>
                      <w:color w:val="auto"/>
                      <w:sz w:val="21"/>
                      <w:szCs w:val="21"/>
                    </w:rPr>
                    <w:t>序号</w:t>
                  </w:r>
                </w:p>
              </w:tc>
              <w:tc>
                <w:tcPr>
                  <w:tcW w:w="4275"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hint="eastAsia" w:ascii="Times New Roman" w:hAnsi="Times New Roman" w:cs="Times New Roman"/>
                      <w:b/>
                      <w:bCs/>
                      <w:color w:val="auto"/>
                      <w:sz w:val="21"/>
                      <w:szCs w:val="21"/>
                    </w:rPr>
                    <w:t>污染物</w:t>
                  </w:r>
                </w:p>
              </w:tc>
              <w:tc>
                <w:tcPr>
                  <w:tcW w:w="3920"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hint="eastAsia" w:ascii="Times New Roman" w:hAnsi="Times New Roman" w:cs="Times New Roman"/>
                      <w:b/>
                      <w:bCs/>
                      <w:color w:val="auto"/>
                      <w:sz w:val="21"/>
                      <w:szCs w:val="21"/>
                    </w:rPr>
                    <w:t>年排放量（t/a）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5"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1</w:t>
                  </w:r>
                </w:p>
              </w:tc>
              <w:tc>
                <w:tcPr>
                  <w:tcW w:w="4275"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b w:val="0"/>
                      <w:bCs w:val="0"/>
                      <w:color w:val="auto"/>
                      <w:sz w:val="21"/>
                      <w:szCs w:val="21"/>
                      <w:lang w:val="en-US" w:eastAsia="zh-CN"/>
                    </w:rPr>
                    <w:t>PM</w:t>
                  </w:r>
                  <w:r>
                    <w:rPr>
                      <w:rFonts w:hint="eastAsia" w:ascii="Times New Roman" w:hAnsi="Times New Roman" w:cs="Times New Roman"/>
                      <w:b w:val="0"/>
                      <w:bCs w:val="0"/>
                      <w:color w:val="auto"/>
                      <w:sz w:val="21"/>
                      <w:szCs w:val="21"/>
                      <w:vertAlign w:val="subscript"/>
                      <w:lang w:val="en-US" w:eastAsia="zh-CN"/>
                    </w:rPr>
                    <w:t>10</w:t>
                  </w:r>
                </w:p>
              </w:tc>
              <w:tc>
                <w:tcPr>
                  <w:tcW w:w="3920" w:type="dxa"/>
                  <w:tcBorders>
                    <w:top w:val="single" w:color="auto" w:sz="12" w:space="0"/>
                    <w:tl2br w:val="nil"/>
                    <w:tr2bl w:val="nil"/>
                  </w:tcBorders>
                  <w:vAlign w:val="center"/>
                </w:tcPr>
                <w:p>
                  <w:pPr>
                    <w:pStyle w:val="15"/>
                    <w:spacing w:after="0"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rPr>
                    <w:t>0.</w:t>
                  </w:r>
                  <w:r>
                    <w:rPr>
                      <w:rFonts w:hint="eastAsia" w:ascii="Times New Roman" w:hAnsi="Times New Roman" w:cs="Times New Roman"/>
                      <w:color w:val="auto"/>
                      <w:sz w:val="21"/>
                      <w:szCs w:val="21"/>
                      <w:lang w:val="en-US" w:eastAsia="zh-CN"/>
                    </w:rPr>
                    <w:t>36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2</w:t>
                  </w:r>
                </w:p>
              </w:tc>
              <w:tc>
                <w:tcPr>
                  <w:tcW w:w="427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eastAsia="宋体" w:cs="Times New Roman"/>
                      <w:color w:val="auto"/>
                      <w:sz w:val="21"/>
                      <w:szCs w:val="21"/>
                    </w:rPr>
                    <w:t>SO</w:t>
                  </w:r>
                  <w:r>
                    <w:rPr>
                      <w:rFonts w:hint="eastAsia" w:ascii="Times New Roman" w:hAnsi="Times New Roman" w:eastAsia="宋体" w:cs="Times New Roman"/>
                      <w:color w:val="auto"/>
                      <w:sz w:val="21"/>
                      <w:szCs w:val="21"/>
                      <w:vertAlign w:val="subscript"/>
                    </w:rPr>
                    <w:t>2</w:t>
                  </w:r>
                </w:p>
              </w:tc>
              <w:tc>
                <w:tcPr>
                  <w:tcW w:w="3920" w:type="dxa"/>
                  <w:tcBorders>
                    <w:tl2br w:val="nil"/>
                    <w:tr2bl w:val="nil"/>
                  </w:tcBorders>
                  <w:vAlign w:val="center"/>
                </w:tcPr>
                <w:p>
                  <w:pPr>
                    <w:pStyle w:val="15"/>
                    <w:spacing w:after="0"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rPr>
                    <w:t>0.</w:t>
                  </w:r>
                  <w:r>
                    <w:rPr>
                      <w:rFonts w:hint="eastAsia" w:ascii="Times New Roman" w:hAnsi="Times New Roman" w:cs="Times New Roman"/>
                      <w:color w:val="auto"/>
                      <w:sz w:val="21"/>
                      <w:szCs w:val="21"/>
                      <w:lang w:val="en-US" w:eastAsia="zh-CN"/>
                    </w:rPr>
                    <w:t>599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w:t>
                  </w:r>
                </w:p>
              </w:tc>
              <w:tc>
                <w:tcPr>
                  <w:tcW w:w="427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eastAsia="宋体" w:cs="Times New Roman"/>
                      <w:color w:val="auto"/>
                      <w:sz w:val="21"/>
                      <w:szCs w:val="21"/>
                    </w:rPr>
                    <w:t>NO</w:t>
                  </w:r>
                  <w:r>
                    <w:rPr>
                      <w:rFonts w:hint="eastAsia" w:ascii="Times New Roman" w:hAnsi="Times New Roman" w:eastAsia="宋体" w:cs="Times New Roman"/>
                      <w:color w:val="auto"/>
                      <w:sz w:val="21"/>
                      <w:szCs w:val="21"/>
                      <w:vertAlign w:val="subscript"/>
                    </w:rPr>
                    <w:t>X</w:t>
                  </w:r>
                </w:p>
              </w:tc>
              <w:tc>
                <w:tcPr>
                  <w:tcW w:w="3920" w:type="dxa"/>
                  <w:tcBorders>
                    <w:tl2br w:val="nil"/>
                    <w:tr2bl w:val="nil"/>
                  </w:tcBorders>
                  <w:vAlign w:val="center"/>
                </w:tcPr>
                <w:p>
                  <w:pPr>
                    <w:pStyle w:val="15"/>
                    <w:spacing w:after="0"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rPr>
                    <w:t>0.5</w:t>
                  </w:r>
                  <w:r>
                    <w:rPr>
                      <w:rFonts w:hint="eastAsia" w:ascii="Times New Roman" w:hAnsi="Times New Roman" w:cs="Times New Roman"/>
                      <w:color w:val="auto"/>
                      <w:sz w:val="21"/>
                      <w:szCs w:val="21"/>
                      <w:lang w:val="en-US" w:eastAsia="zh-CN"/>
                    </w:rPr>
                    <w:t>72</w:t>
                  </w:r>
                </w:p>
              </w:tc>
            </w:tr>
          </w:tbl>
          <w:p>
            <w:pPr>
              <w:ind w:firstLine="480" w:firstLineChars="200"/>
              <w:rPr>
                <w:rFonts w:hint="default" w:ascii="Times New Roman" w:hAnsi="Times New Roman" w:cs="Times New Roman"/>
                <w:color w:val="auto"/>
                <w:u w:val="single"/>
                <w:lang w:val="en-US" w:eastAsia="zh-CN"/>
              </w:rPr>
            </w:pPr>
            <w:r>
              <w:rPr>
                <w:rFonts w:hint="default" w:ascii="Times New Roman" w:hAnsi="Times New Roman" w:cs="Times New Roman"/>
                <w:color w:val="auto"/>
                <w:u w:val="single"/>
                <w:lang w:val="en-US" w:eastAsia="zh-CN"/>
              </w:rPr>
              <w:t>（3）大气污染</w:t>
            </w:r>
            <w:r>
              <w:rPr>
                <w:rFonts w:hint="eastAsia" w:ascii="Times New Roman" w:hAnsi="Times New Roman" w:cs="Times New Roman"/>
                <w:color w:val="auto"/>
                <w:u w:val="single"/>
                <w:lang w:val="en-US" w:eastAsia="zh-CN"/>
              </w:rPr>
              <w:t>防治</w:t>
            </w:r>
            <w:r>
              <w:rPr>
                <w:rFonts w:hint="default" w:ascii="Times New Roman" w:hAnsi="Times New Roman" w:cs="Times New Roman"/>
                <w:color w:val="auto"/>
                <w:u w:val="single"/>
                <w:lang w:val="en-US" w:eastAsia="zh-CN"/>
              </w:rPr>
              <w:t>措施可行性分析</w:t>
            </w:r>
          </w:p>
          <w:p>
            <w:pPr>
              <w:ind w:firstLine="480" w:firstLineChars="200"/>
              <w:rPr>
                <w:rFonts w:hint="eastAsia" w:eastAsiaTheme="minorEastAsia"/>
                <w:color w:val="auto"/>
                <w:u w:val="single"/>
                <w:vertAlign w:val="baseline"/>
                <w:lang w:val="en-US" w:eastAsia="zh-CN"/>
              </w:rPr>
            </w:pPr>
            <w:r>
              <w:rPr>
                <w:rFonts w:hint="default" w:ascii="Times New Roman" w:hAnsi="Times New Roman" w:cs="Times New Roman"/>
                <w:color w:val="auto"/>
                <w:u w:val="single"/>
                <w:lang w:val="en-US" w:eastAsia="zh-CN"/>
              </w:rPr>
              <w:t>本项目废气排放经锅炉自带低氮燃烧器+烟气再循环技术处理，最终由23m烟囱高空排放，本项目使用燃料为天然气，属于清洁能源，满足国家环保要求（见附件</w:t>
            </w:r>
            <w:r>
              <w:rPr>
                <w:rFonts w:hint="eastAsia" w:ascii="Times New Roman" w:hAnsi="Times New Roman" w:cs="Times New Roman"/>
                <w:color w:val="auto"/>
                <w:u w:val="single"/>
                <w:lang w:val="en-US" w:eastAsia="zh-CN"/>
              </w:rPr>
              <w:t>8</w:t>
            </w:r>
            <w:r>
              <w:rPr>
                <w:rFonts w:hint="default" w:ascii="Times New Roman" w:hAnsi="Times New Roman" w:cs="Times New Roman"/>
                <w:color w:val="auto"/>
                <w:u w:val="single"/>
                <w:lang w:val="en-US" w:eastAsia="zh-CN"/>
              </w:rPr>
              <w:t>气质分析报告），根据锅炉生产厂家提供资料，本项目天然气锅炉燃烧后产生的二氧化硫、排放浓度小于10mg/m</w:t>
            </w:r>
            <w:r>
              <w:rPr>
                <w:rFonts w:hint="default" w:ascii="Times New Roman" w:hAnsi="Times New Roman" w:cs="Times New Roman"/>
                <w:color w:val="auto"/>
                <w:u w:val="single"/>
                <w:vertAlign w:val="superscript"/>
                <w:lang w:val="en-US" w:eastAsia="zh-CN"/>
              </w:rPr>
              <w:t>3</w:t>
            </w:r>
            <w:r>
              <w:rPr>
                <w:rFonts w:hint="default" w:ascii="Times New Roman" w:hAnsi="Times New Roman" w:cs="Times New Roman"/>
                <w:color w:val="auto"/>
                <w:u w:val="single"/>
                <w:vertAlign w:val="baseline"/>
                <w:lang w:val="en-US" w:eastAsia="zh-CN"/>
              </w:rPr>
              <w:t>，</w:t>
            </w:r>
            <w:r>
              <w:rPr>
                <w:rFonts w:hint="default" w:ascii="Times New Roman" w:hAnsi="Times New Roman" w:cs="Times New Roman"/>
                <w:color w:val="auto"/>
                <w:u w:val="single"/>
                <w:lang w:val="en-US" w:eastAsia="zh-CN"/>
              </w:rPr>
              <w:t>氮氧化物排放浓度小于30mg/m</w:t>
            </w:r>
            <w:r>
              <w:rPr>
                <w:rFonts w:hint="default" w:ascii="Times New Roman" w:hAnsi="Times New Roman" w:cs="Times New Roman"/>
                <w:color w:val="auto"/>
                <w:u w:val="single"/>
                <w:vertAlign w:val="superscript"/>
                <w:lang w:val="en-US" w:eastAsia="zh-CN"/>
              </w:rPr>
              <w:t>3</w:t>
            </w:r>
            <w:r>
              <w:rPr>
                <w:rFonts w:hint="default" w:ascii="Times New Roman" w:hAnsi="Times New Roman" w:cs="Times New Roman"/>
                <w:color w:val="auto"/>
                <w:u w:val="single"/>
                <w:vertAlign w:val="baseline"/>
                <w:lang w:val="en-US" w:eastAsia="zh-CN"/>
              </w:rPr>
              <w:t>，</w:t>
            </w:r>
            <w:r>
              <w:rPr>
                <w:rFonts w:hint="default" w:ascii="Times New Roman" w:hAnsi="Times New Roman" w:cs="Times New Roman"/>
                <w:color w:val="auto"/>
                <w:u w:val="single"/>
                <w:lang w:val="en-US" w:eastAsia="zh-CN"/>
              </w:rPr>
              <w:t>烟尘排放浓度小于5mg/m</w:t>
            </w:r>
            <w:r>
              <w:rPr>
                <w:rFonts w:hint="default" w:ascii="Times New Roman" w:hAnsi="Times New Roman" w:cs="Times New Roman"/>
                <w:color w:val="auto"/>
                <w:u w:val="single"/>
                <w:vertAlign w:val="superscript"/>
                <w:lang w:val="en-US" w:eastAsia="zh-CN"/>
              </w:rPr>
              <w:t>3</w:t>
            </w:r>
            <w:r>
              <w:rPr>
                <w:rFonts w:hint="default" w:ascii="Times New Roman" w:hAnsi="Times New Roman" w:cs="Times New Roman"/>
                <w:color w:val="auto"/>
                <w:u w:val="single"/>
                <w:vertAlign w:val="baseline"/>
                <w:lang w:val="en-US" w:eastAsia="zh-CN"/>
              </w:rPr>
              <w:t>，可满足</w:t>
            </w:r>
            <w:r>
              <w:rPr>
                <w:rFonts w:hint="default" w:ascii="Times New Roman" w:hAnsi="Times New Roman" w:cs="Times New Roman"/>
                <w:color w:val="auto"/>
                <w:u w:val="single"/>
              </w:rPr>
              <w:t>《锅炉大气污染物排放标准》（GB13271-2014）中表3的大气污染物特别排放限值</w:t>
            </w:r>
            <w:r>
              <w:rPr>
                <w:rFonts w:hint="default" w:ascii="Times New Roman" w:hAnsi="Times New Roman" w:cs="Times New Roman"/>
                <w:color w:val="auto"/>
                <w:u w:val="single"/>
                <w:lang w:eastAsia="zh-CN"/>
              </w:rPr>
              <w:t>要求。</w:t>
            </w:r>
          </w:p>
          <w:p>
            <w:pPr>
              <w:pStyle w:val="29"/>
              <w:spacing w:line="520" w:lineRule="exact"/>
              <w:ind w:firstLine="480"/>
              <w:rPr>
                <w:rFonts w:ascii="Times New Roman" w:hAnsi="Times New Roman" w:cs="Times New Roman"/>
                <w:color w:val="auto"/>
              </w:rPr>
            </w:pPr>
            <w:r>
              <w:rPr>
                <w:rFonts w:ascii="Times New Roman" w:hAnsi="Times New Roman" w:cs="Times New Roman"/>
                <w:color w:val="auto"/>
              </w:rPr>
              <w:t>（</w:t>
            </w:r>
            <w:r>
              <w:rPr>
                <w:rFonts w:hint="eastAsia" w:ascii="Times New Roman" w:hAnsi="Times New Roman" w:cs="Times New Roman"/>
                <w:color w:val="auto"/>
                <w:lang w:val="en-US" w:eastAsia="zh-CN"/>
              </w:rPr>
              <w:t>4</w:t>
            </w:r>
            <w:r>
              <w:rPr>
                <w:rFonts w:ascii="Times New Roman" w:hAnsi="Times New Roman" w:cs="Times New Roman"/>
                <w:color w:val="auto"/>
              </w:rPr>
              <w:t>）排气筒高度合理性分析</w:t>
            </w:r>
          </w:p>
          <w:p>
            <w:pPr>
              <w:ind w:firstLine="480" w:firstLineChars="200"/>
              <w:rPr>
                <w:rFonts w:hint="eastAsia" w:ascii="Times New Roman" w:hAnsi="Times New Roman" w:cs="Times New Roman"/>
                <w:color w:val="auto"/>
              </w:rPr>
            </w:pPr>
            <w:r>
              <w:rPr>
                <w:rFonts w:hint="eastAsia"/>
                <w:color w:val="auto"/>
              </w:rPr>
              <w:t>本项目在锅炉房外新建一根</w:t>
            </w:r>
            <w:r>
              <w:rPr>
                <w:rFonts w:ascii="Times New Roman" w:hAnsi="Times New Roman" w:cs="Times New Roman"/>
                <w:color w:val="auto"/>
              </w:rPr>
              <w:t>2</w:t>
            </w:r>
            <w:r>
              <w:rPr>
                <w:rFonts w:hint="eastAsia" w:ascii="Times New Roman" w:hAnsi="Times New Roman" w:cs="Times New Roman"/>
                <w:color w:val="auto"/>
                <w:lang w:val="en-US" w:eastAsia="zh-CN"/>
              </w:rPr>
              <w:t>3</w:t>
            </w:r>
            <w:r>
              <w:rPr>
                <w:rFonts w:ascii="Times New Roman" w:hAnsi="Times New Roman" w:cs="Times New Roman"/>
                <w:color w:val="auto"/>
              </w:rPr>
              <w:t>m</w:t>
            </w:r>
            <w:r>
              <w:rPr>
                <w:rFonts w:hint="eastAsia"/>
                <w:color w:val="auto"/>
              </w:rPr>
              <w:t>排气筒，根据</w:t>
            </w:r>
            <w:r>
              <w:rPr>
                <w:rFonts w:ascii="Times New Roman" w:hAnsi="Times New Roman" w:cs="Times New Roman"/>
                <w:color w:val="auto"/>
              </w:rPr>
              <w:t>《</w:t>
            </w:r>
            <w:r>
              <w:rPr>
                <w:rFonts w:hint="eastAsia" w:ascii="Times New Roman" w:hAnsi="Times New Roman" w:cs="Times New Roman"/>
                <w:color w:val="auto"/>
              </w:rPr>
              <w:t>锅炉大气污染物</w:t>
            </w:r>
            <w:r>
              <w:rPr>
                <w:rFonts w:ascii="Times New Roman" w:hAnsi="Times New Roman" w:cs="Times New Roman"/>
                <w:color w:val="auto"/>
              </w:rPr>
              <w:t>排放标准》（GB</w:t>
            </w:r>
            <w:r>
              <w:rPr>
                <w:rFonts w:hint="eastAsia" w:ascii="Times New Roman" w:hAnsi="Times New Roman" w:cs="Times New Roman"/>
                <w:color w:val="auto"/>
              </w:rPr>
              <w:t>13271</w:t>
            </w:r>
            <w:r>
              <w:rPr>
                <w:rFonts w:ascii="Times New Roman" w:hAnsi="Times New Roman" w:cs="Times New Roman"/>
                <w:color w:val="auto"/>
              </w:rPr>
              <w:t>-20</w:t>
            </w:r>
            <w:r>
              <w:rPr>
                <w:rFonts w:hint="eastAsia" w:ascii="Times New Roman" w:hAnsi="Times New Roman" w:cs="Times New Roman"/>
                <w:color w:val="auto"/>
              </w:rPr>
              <w:t>14</w:t>
            </w:r>
            <w:r>
              <w:rPr>
                <w:rFonts w:ascii="Times New Roman" w:hAnsi="Times New Roman" w:cs="Times New Roman"/>
                <w:color w:val="auto"/>
              </w:rPr>
              <w:t>）</w:t>
            </w:r>
            <w:r>
              <w:rPr>
                <w:rFonts w:hint="eastAsia" w:ascii="Times New Roman" w:hAnsi="Times New Roman" w:cs="Times New Roman"/>
                <w:color w:val="auto"/>
              </w:rPr>
              <w:t>4.5中规定：“燃油燃气锅炉烟囱不低于8米，并高出周围建筑物3米以上”。本项目新建烟囱高度为2</w:t>
            </w:r>
            <w:r>
              <w:rPr>
                <w:rFonts w:hint="eastAsia" w:ascii="Times New Roman" w:hAnsi="Times New Roman" w:cs="Times New Roman"/>
                <w:color w:val="auto"/>
                <w:lang w:val="en-US" w:eastAsia="zh-CN"/>
              </w:rPr>
              <w:t>3</w:t>
            </w:r>
            <w:r>
              <w:rPr>
                <w:rFonts w:hint="eastAsia" w:ascii="Times New Roman" w:hAnsi="Times New Roman" w:cs="Times New Roman"/>
                <w:color w:val="auto"/>
              </w:rPr>
              <w:t>米，满足高出周围建筑物（</w:t>
            </w:r>
            <w:r>
              <w:rPr>
                <w:rFonts w:hint="eastAsia" w:ascii="Times New Roman" w:hAnsi="Times New Roman" w:cs="Times New Roman"/>
                <w:color w:val="auto"/>
                <w:lang w:eastAsia="zh-CN"/>
              </w:rPr>
              <w:t>南边富兴华城小区</w:t>
            </w:r>
            <w:r>
              <w:rPr>
                <w:rFonts w:hint="eastAsia" w:ascii="Times New Roman" w:hAnsi="Times New Roman" w:cs="Times New Roman"/>
                <w:color w:val="auto"/>
              </w:rPr>
              <w:t>最高</w:t>
            </w:r>
            <w:r>
              <w:rPr>
                <w:rFonts w:hint="eastAsia" w:ascii="Times New Roman" w:hAnsi="Times New Roman" w:cs="Times New Roman"/>
                <w:color w:val="auto"/>
                <w:lang w:val="en-US" w:eastAsia="zh-CN"/>
              </w:rPr>
              <w:t>6层半，20</w:t>
            </w:r>
            <w:r>
              <w:rPr>
                <w:rFonts w:hint="eastAsia" w:ascii="Times New Roman" w:hAnsi="Times New Roman" w:cs="Times New Roman"/>
                <w:color w:val="auto"/>
              </w:rPr>
              <w:t>米）</w:t>
            </w:r>
            <w:r>
              <w:rPr>
                <w:rFonts w:hint="eastAsia" w:ascii="Times New Roman" w:hAnsi="Times New Roman" w:cs="Times New Roman"/>
                <w:color w:val="auto"/>
                <w:lang w:val="en-US" w:eastAsia="zh-CN"/>
              </w:rPr>
              <w:t>3</w:t>
            </w:r>
            <w:r>
              <w:rPr>
                <w:rFonts w:hint="eastAsia" w:ascii="Times New Roman" w:hAnsi="Times New Roman" w:cs="Times New Roman"/>
                <w:color w:val="auto"/>
              </w:rPr>
              <w:t>米，其高度设置合理。</w:t>
            </w:r>
          </w:p>
          <w:p>
            <w:pPr>
              <w:pStyle w:val="29"/>
              <w:numPr>
                <w:ilvl w:val="0"/>
                <w:numId w:val="0"/>
              </w:numPr>
              <w:spacing w:line="520" w:lineRule="exact"/>
              <w:ind w:leftChars="200"/>
              <w:rPr>
                <w:rFonts w:hint="eastAsia" w:ascii="Times New Roman" w:hAnsi="Times New Roman" w:cs="Times New Roman"/>
                <w:color w:val="auto"/>
                <w:u w:val="single"/>
                <w:lang w:val="en-US" w:eastAsia="zh-CN"/>
              </w:rPr>
            </w:pPr>
            <w:r>
              <w:rPr>
                <w:rFonts w:hint="eastAsia" w:ascii="Times New Roman" w:hAnsi="Times New Roman" w:cs="Times New Roman"/>
                <w:color w:val="auto"/>
                <w:u w:val="single"/>
                <w:lang w:val="en-US" w:eastAsia="zh-CN"/>
              </w:rPr>
              <w:t>（5）排气筒设置说明</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default" w:ascii="Times New Roman" w:hAnsi="Times New Roman" w:cs="Times New Roman"/>
                <w:color w:val="auto"/>
                <w:u w:val="single"/>
                <w:lang w:val="en-US" w:eastAsia="zh-CN"/>
              </w:rPr>
            </w:pPr>
            <w:r>
              <w:rPr>
                <w:rFonts w:hint="default" w:ascii="Times New Roman" w:hAnsi="Times New Roman" w:cs="Times New Roman"/>
                <w:color w:val="auto"/>
                <w:u w:val="single"/>
                <w:lang w:val="en-US" w:eastAsia="zh-CN"/>
              </w:rPr>
              <w:t>目前，企业现有15t/h天然气锅炉已经使用，其烟气经过现有2</w:t>
            </w:r>
            <w:r>
              <w:rPr>
                <w:rFonts w:hint="eastAsia" w:ascii="Times New Roman" w:hAnsi="Times New Roman" w:cs="Times New Roman"/>
                <w:color w:val="auto"/>
                <w:u w:val="single"/>
                <w:lang w:val="en-US" w:eastAsia="zh-CN"/>
              </w:rPr>
              <w:t>3</w:t>
            </w:r>
            <w:r>
              <w:rPr>
                <w:rFonts w:hint="default" w:ascii="Times New Roman" w:hAnsi="Times New Roman" w:cs="Times New Roman"/>
                <w:color w:val="auto"/>
                <w:u w:val="single"/>
                <w:lang w:val="en-US" w:eastAsia="zh-CN"/>
              </w:rPr>
              <w:t>m烟囱排放，本项目新增锅炉若与现有锅炉合用一根烟囱排放，在安装过程须停用现有天然气锅炉，根据企业生产工艺可知，锅炉停用即厂内停产，为保证企业生产计划正常进行，且受到锅炉房的布置局限，本项目在原有锅炉房内新增1根23m烟囱。另外项目新增15t/h天然气锅炉与现有15t/h天然气锅炉厂家与型号均不同，为更好地监测污染物排放浓度，控制污染物排放指标，本项目在现有锅炉房新增一根23m烟囱。</w:t>
            </w:r>
          </w:p>
          <w:p>
            <w:pPr>
              <w:pStyle w:val="6"/>
              <w:ind w:firstLine="482"/>
              <w:outlineLvl w:val="2"/>
              <w:rPr>
                <w:b/>
                <w:bCs w:val="0"/>
                <w:color w:val="auto"/>
                <w:u w:val="none"/>
              </w:rPr>
            </w:pPr>
            <w:r>
              <w:rPr>
                <w:rFonts w:hint="eastAsia"/>
                <w:b/>
                <w:bCs w:val="0"/>
                <w:color w:val="auto"/>
                <w:u w:val="none"/>
              </w:rPr>
              <w:t>2.3噪声环境影响分析</w:t>
            </w:r>
          </w:p>
          <w:p>
            <w:pPr>
              <w:ind w:firstLine="480" w:firstLineChars="200"/>
              <w:rPr>
                <w:rFonts w:ascii="Times New Roman" w:hAnsi="Times New Roman" w:cs="Times New Roman"/>
                <w:color w:val="auto"/>
              </w:rPr>
            </w:pPr>
            <w:r>
              <w:rPr>
                <w:rFonts w:hint="eastAsia" w:ascii="Times New Roman" w:hAnsi="Times New Roman" w:cs="Times New Roman"/>
                <w:color w:val="auto"/>
              </w:rPr>
              <w:t>（1）噪声源强及拟采取的措施</w:t>
            </w:r>
          </w:p>
          <w:p>
            <w:pPr>
              <w:ind w:firstLine="480" w:firstLineChars="200"/>
              <w:rPr>
                <w:rFonts w:ascii="Times New Roman" w:hAnsi="Times New Roman" w:cs="Times New Roman"/>
                <w:color w:val="auto"/>
              </w:rPr>
            </w:pPr>
            <w:r>
              <w:rPr>
                <w:rFonts w:hint="eastAsia" w:ascii="Times New Roman" w:hAnsi="Times New Roman" w:cs="Times New Roman"/>
                <w:color w:val="auto"/>
              </w:rPr>
              <w:t>本项目噪声来源主要是锅炉运行过程中产生的噪声，噪声水平在70dB(A)～80dB(A)之间。噪声源设备设置在密闭的车间内，并采取相应隔音减噪措施后，厂界噪声能够达到《工业企业厂界环境噪声排放标准》（GB12348-2008）2类标准，不会对周围环境产生明显的不利影响。</w:t>
            </w:r>
          </w:p>
          <w:p>
            <w:pPr>
              <w:spacing w:line="360" w:lineRule="auto"/>
              <w:jc w:val="center"/>
              <w:rPr>
                <w:rFonts w:ascii="Times New Roman" w:hAnsi="Times New Roman" w:cs="Times New Roman"/>
                <w:color w:val="auto"/>
                <w:szCs w:val="24"/>
              </w:rPr>
            </w:pPr>
            <w:r>
              <w:rPr>
                <w:rFonts w:ascii="Times New Roman" w:hAnsi="Times New Roman" w:cs="Times New Roman"/>
                <w:b/>
                <w:bCs/>
                <w:color w:val="auto"/>
              </w:rPr>
              <w:t>表7-</w:t>
            </w:r>
            <w:r>
              <w:rPr>
                <w:rFonts w:hint="eastAsia" w:ascii="Times New Roman" w:hAnsi="Times New Roman" w:cs="Times New Roman"/>
                <w:b/>
                <w:bCs/>
                <w:color w:val="auto"/>
              </w:rPr>
              <w:t>9</w:t>
            </w:r>
            <w:r>
              <w:rPr>
                <w:rFonts w:ascii="Times New Roman" w:hAnsi="Times New Roman" w:cs="Times New Roman"/>
                <w:b/>
                <w:bCs/>
                <w:color w:val="auto"/>
              </w:rPr>
              <w:t xml:space="preserve">  主要噪声源及控制措施表</w:t>
            </w:r>
          </w:p>
          <w:tbl>
            <w:tblPr>
              <w:tblStyle w:val="18"/>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63"/>
              <w:gridCol w:w="1867"/>
              <w:gridCol w:w="1125"/>
              <w:gridCol w:w="1530"/>
              <w:gridCol w:w="2888"/>
              <w:gridCol w:w="119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ascii="Times New Roman" w:hAnsi="Times New Roman" w:cs="Times New Roman"/>
                      <w:b/>
                      <w:bCs/>
                      <w:color w:val="auto"/>
                      <w:sz w:val="21"/>
                      <w:szCs w:val="21"/>
                    </w:rPr>
                    <w:t>序号</w:t>
                  </w:r>
                </w:p>
              </w:tc>
              <w:tc>
                <w:tcPr>
                  <w:tcW w:w="1867"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ascii="Times New Roman" w:hAnsi="Times New Roman" w:cs="Times New Roman"/>
                      <w:b/>
                      <w:bCs/>
                      <w:color w:val="auto"/>
                      <w:sz w:val="21"/>
                      <w:szCs w:val="21"/>
                    </w:rPr>
                    <w:t>设备</w:t>
                  </w:r>
                </w:p>
              </w:tc>
              <w:tc>
                <w:tcPr>
                  <w:tcW w:w="1125"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ascii="Times New Roman" w:hAnsi="Times New Roman" w:cs="Times New Roman"/>
                      <w:b/>
                      <w:bCs/>
                      <w:color w:val="auto"/>
                      <w:sz w:val="21"/>
                      <w:szCs w:val="21"/>
                    </w:rPr>
                    <w:t>数量</w:t>
                  </w:r>
                </w:p>
              </w:tc>
              <w:tc>
                <w:tcPr>
                  <w:tcW w:w="1530"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ascii="Times New Roman" w:hAnsi="Times New Roman" w:cs="Times New Roman"/>
                      <w:b/>
                      <w:bCs/>
                      <w:color w:val="auto"/>
                      <w:sz w:val="21"/>
                      <w:szCs w:val="21"/>
                    </w:rPr>
                    <w:t>运行噪声（dB）</w:t>
                  </w:r>
                </w:p>
              </w:tc>
              <w:tc>
                <w:tcPr>
                  <w:tcW w:w="2888"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ascii="Times New Roman" w:hAnsi="Times New Roman" w:cs="Times New Roman"/>
                      <w:b/>
                      <w:bCs/>
                      <w:color w:val="auto"/>
                      <w:sz w:val="21"/>
                      <w:szCs w:val="21"/>
                    </w:rPr>
                    <w:t>拟采取的措施</w:t>
                  </w:r>
                </w:p>
              </w:tc>
              <w:tc>
                <w:tcPr>
                  <w:tcW w:w="1197" w:type="dxa"/>
                  <w:tcBorders>
                    <w:bottom w:val="single" w:color="auto" w:sz="12" w:space="0"/>
                  </w:tcBorders>
                  <w:vAlign w:val="center"/>
                </w:tcPr>
                <w:p>
                  <w:pPr>
                    <w:pStyle w:val="15"/>
                    <w:spacing w:after="0" w:line="240" w:lineRule="auto"/>
                    <w:ind w:firstLine="0" w:firstLineChars="0"/>
                    <w:jc w:val="center"/>
                    <w:rPr>
                      <w:rFonts w:ascii="Times New Roman" w:hAnsi="Times New Roman" w:eastAsia="宋体" w:cs="Times New Roman"/>
                      <w:b/>
                      <w:bCs/>
                      <w:color w:val="auto"/>
                      <w:sz w:val="21"/>
                      <w:szCs w:val="21"/>
                    </w:rPr>
                  </w:pPr>
                  <w:r>
                    <w:rPr>
                      <w:rFonts w:ascii="Times New Roman" w:hAnsi="Times New Roman" w:cs="Times New Roman"/>
                      <w:b/>
                      <w:bCs/>
                      <w:color w:val="auto"/>
                      <w:sz w:val="21"/>
                      <w:szCs w:val="21"/>
                    </w:rPr>
                    <w:t>降噪效果（dB（A））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top w:val="single" w:color="auto" w:sz="12" w:space="0"/>
                    <w:tl2br w:val="nil"/>
                    <w:tr2bl w:val="nil"/>
                  </w:tcBorders>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1867"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锅炉</w:t>
                  </w:r>
                </w:p>
              </w:tc>
              <w:tc>
                <w:tcPr>
                  <w:tcW w:w="1125"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eastAsia="宋体" w:cs="Times New Roman"/>
                      <w:color w:val="auto"/>
                      <w:sz w:val="21"/>
                      <w:szCs w:val="21"/>
                    </w:rPr>
                    <w:t>1</w:t>
                  </w:r>
                  <w:r>
                    <w:rPr>
                      <w:rFonts w:ascii="Times New Roman" w:hAnsi="Times New Roman" w:eastAsia="宋体" w:cs="Times New Roman"/>
                      <w:color w:val="auto"/>
                      <w:sz w:val="21"/>
                      <w:szCs w:val="21"/>
                    </w:rPr>
                    <w:t>台</w:t>
                  </w:r>
                </w:p>
              </w:tc>
              <w:tc>
                <w:tcPr>
                  <w:tcW w:w="1530" w:type="dxa"/>
                  <w:tcBorders>
                    <w:top w:val="single" w:color="auto" w:sz="12" w:space="0"/>
                    <w:tl2br w:val="nil"/>
                    <w:tr2bl w:val="nil"/>
                  </w:tcBorders>
                  <w:vAlign w:val="center"/>
                </w:tcPr>
                <w:p>
                  <w:pPr>
                    <w:pStyle w:val="15"/>
                    <w:spacing w:after="0" w:line="240" w:lineRule="auto"/>
                    <w:ind w:firstLine="0" w:firstLineChars="0"/>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70-80</w:t>
                  </w:r>
                </w:p>
              </w:tc>
              <w:tc>
                <w:tcPr>
                  <w:tcW w:w="2888" w:type="dxa"/>
                  <w:tcBorders>
                    <w:top w:val="single" w:color="auto" w:sz="12" w:space="0"/>
                    <w:tl2br w:val="nil"/>
                    <w:tr2bl w:val="nil"/>
                  </w:tcBorders>
                  <w:vAlign w:val="center"/>
                </w:tcPr>
                <w:p>
                  <w:pPr>
                    <w:pStyle w:val="15"/>
                    <w:spacing w:after="0" w:line="240" w:lineRule="auto"/>
                    <w:ind w:firstLine="0" w:firstLineChars="0"/>
                    <w:jc w:val="center"/>
                    <w:rPr>
                      <w:rFonts w:ascii="Times New Roman" w:hAnsi="Times New Roman" w:eastAsia="宋体" w:cs="Times New Roman"/>
                      <w:color w:val="auto"/>
                      <w:sz w:val="21"/>
                      <w:szCs w:val="21"/>
                    </w:rPr>
                  </w:pPr>
                  <w:r>
                    <w:rPr>
                      <w:rFonts w:hint="eastAsia" w:ascii="Times New Roman" w:hAnsi="Times New Roman" w:cs="Times New Roman"/>
                      <w:color w:val="auto"/>
                      <w:sz w:val="21"/>
                      <w:szCs w:val="21"/>
                    </w:rPr>
                    <w:t>距离衰减、减震、厂房隔声</w:t>
                  </w:r>
                </w:p>
              </w:tc>
              <w:tc>
                <w:tcPr>
                  <w:tcW w:w="1197" w:type="dxa"/>
                  <w:tcBorders>
                    <w:top w:val="single" w:color="auto" w:sz="12" w:space="0"/>
                    <w:tl2br w:val="nil"/>
                    <w:tr2bl w:val="nil"/>
                  </w:tcBorders>
                  <w:vAlign w:val="center"/>
                </w:tcPr>
                <w:p>
                  <w:pPr>
                    <w:pStyle w:val="15"/>
                    <w:spacing w:after="0" w:line="240" w:lineRule="auto"/>
                    <w:ind w:firstLine="0" w:firstLineChars="0"/>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40-45</w:t>
                  </w:r>
                </w:p>
              </w:tc>
            </w:tr>
          </w:tbl>
          <w:p>
            <w:pPr>
              <w:ind w:firstLine="480" w:firstLineChars="200"/>
              <w:rPr>
                <w:rFonts w:ascii="Times New Roman" w:hAnsi="Times New Roman" w:cs="Times New Roman"/>
                <w:color w:val="auto"/>
              </w:rPr>
            </w:pPr>
            <w:r>
              <w:rPr>
                <w:rFonts w:ascii="Times New Roman" w:hAnsi="Times New Roman" w:cs="Times New Roman"/>
                <w:color w:val="auto"/>
              </w:rPr>
              <w:t>（2）预测模式</w:t>
            </w:r>
          </w:p>
          <w:p>
            <w:pPr>
              <w:ind w:firstLine="480" w:firstLineChars="200"/>
              <w:rPr>
                <w:rFonts w:ascii="Times New Roman" w:hAnsi="Times New Roman" w:cs="Times New Roman"/>
                <w:color w:val="auto"/>
              </w:rPr>
            </w:pPr>
            <w:r>
              <w:rPr>
                <w:rFonts w:ascii="Times New Roman" w:hAnsi="Times New Roman" w:cs="Times New Roman"/>
                <w:color w:val="auto"/>
              </w:rPr>
              <w:t>a.声级计算</w:t>
            </w:r>
          </w:p>
          <w:p>
            <w:pPr>
              <w:ind w:firstLine="480" w:firstLineChars="200"/>
              <w:rPr>
                <w:rFonts w:ascii="Times New Roman" w:hAnsi="Times New Roman" w:cs="Times New Roman"/>
                <w:color w:val="auto"/>
              </w:rPr>
            </w:pPr>
            <w:r>
              <w:rPr>
                <w:rFonts w:ascii="Times New Roman" w:hAnsi="Times New Roman" w:cs="Times New Roman"/>
                <w:color w:val="auto"/>
              </w:rPr>
              <w:t>建设项目声源在预测点产生的等效声级贡献值（Leqg）计算公式：</w:t>
            </w:r>
          </w:p>
          <w:p>
            <w:pPr>
              <w:ind w:firstLine="480" w:firstLineChars="200"/>
              <w:jc w:val="center"/>
              <w:rPr>
                <w:rFonts w:ascii="Times New Roman" w:hAnsi="Times New Roman" w:cs="Times New Roman"/>
                <w:color w:val="auto"/>
              </w:rPr>
            </w:pPr>
            <w:r>
              <w:rPr>
                <w:rFonts w:ascii="Times New Roman" w:hAnsi="Times New Roman" w:cs="Times New Roman"/>
                <w:color w:val="auto"/>
                <w:position w:val="-28"/>
              </w:rPr>
              <w:object>
                <v:shape id="_x0000_i1025" o:spt="75" type="#_x0000_t75" style="height:34.35pt;width:143.45pt;" o:ole="t" filled="f" o:preferrelative="t" stroked="f" coordsize="21600,21600">
                  <v:path/>
                  <v:fill on="f" focussize="0,0"/>
                  <v:stroke on="f" joinstyle="miter"/>
                  <v:imagedata r:id="rId19" o:title=""/>
                  <o:lock v:ext="edit" aspectratio="t"/>
                  <w10:wrap type="none"/>
                  <w10:anchorlock/>
                </v:shape>
                <o:OLEObject Type="Embed" ProgID="Equation.3" ShapeID="_x0000_i1025" DrawAspect="Content" ObjectID="_1468075729" r:id="rId18">
                  <o:LockedField>false</o:LockedField>
                </o:OLEObject>
              </w:object>
            </w:r>
          </w:p>
          <w:p>
            <w:pPr>
              <w:ind w:firstLine="480" w:firstLineChars="200"/>
              <w:rPr>
                <w:rFonts w:ascii="Times New Roman" w:hAnsi="Times New Roman" w:cs="Times New Roman"/>
                <w:color w:val="auto"/>
              </w:rPr>
            </w:pPr>
            <w:r>
              <w:rPr>
                <w:rFonts w:ascii="Times New Roman" w:hAnsi="Times New Roman" w:cs="Times New Roman"/>
                <w:color w:val="auto"/>
              </w:rPr>
              <w:t>式中：Leqg ---建设项目声源在预测点的等效声级贡献值，dB（A）；</w:t>
            </w:r>
          </w:p>
          <w:p>
            <w:pPr>
              <w:ind w:firstLine="480" w:firstLineChars="200"/>
              <w:rPr>
                <w:rFonts w:ascii="Times New Roman" w:hAnsi="Times New Roman" w:cs="Times New Roman"/>
                <w:color w:val="auto"/>
              </w:rPr>
            </w:pPr>
            <w:r>
              <w:rPr>
                <w:rFonts w:ascii="Times New Roman" w:hAnsi="Times New Roman" w:cs="Times New Roman"/>
                <w:color w:val="auto"/>
              </w:rPr>
              <w:t>LAi ---i声源在预测点产生的A声级，dB（A）；</w:t>
            </w:r>
          </w:p>
          <w:p>
            <w:pPr>
              <w:ind w:firstLine="480" w:firstLineChars="200"/>
              <w:rPr>
                <w:rFonts w:ascii="Times New Roman" w:hAnsi="Times New Roman" w:cs="Times New Roman"/>
                <w:color w:val="auto"/>
              </w:rPr>
            </w:pPr>
            <w:r>
              <w:rPr>
                <w:rFonts w:ascii="Times New Roman" w:hAnsi="Times New Roman" w:cs="Times New Roman"/>
                <w:color w:val="auto"/>
              </w:rPr>
              <w:t>T---预测计算的时间段，s；</w:t>
            </w:r>
          </w:p>
          <w:p>
            <w:pPr>
              <w:ind w:firstLine="480" w:firstLineChars="200"/>
              <w:rPr>
                <w:rFonts w:ascii="Times New Roman" w:hAnsi="Times New Roman" w:cs="Times New Roman"/>
                <w:color w:val="auto"/>
              </w:rPr>
            </w:pPr>
            <w:r>
              <w:rPr>
                <w:rFonts w:ascii="Times New Roman" w:hAnsi="Times New Roman" w:cs="Times New Roman"/>
                <w:color w:val="auto"/>
              </w:rPr>
              <w:t>Ti  ---i声源在T时段内的运行时间，s。</w:t>
            </w:r>
          </w:p>
          <w:p>
            <w:pPr>
              <w:ind w:firstLine="480" w:firstLineChars="200"/>
              <w:rPr>
                <w:rFonts w:ascii="Times New Roman" w:hAnsi="Times New Roman" w:cs="Times New Roman"/>
                <w:color w:val="auto"/>
              </w:rPr>
            </w:pPr>
            <w:r>
              <w:rPr>
                <w:rFonts w:ascii="Times New Roman" w:hAnsi="Times New Roman" w:cs="Times New Roman"/>
                <w:color w:val="auto"/>
              </w:rPr>
              <w:t>预测点的预测等效声级(Leq)计算公式</w:t>
            </w:r>
          </w:p>
          <w:p>
            <w:pPr>
              <w:ind w:firstLine="480" w:firstLineChars="200"/>
              <w:jc w:val="center"/>
              <w:rPr>
                <w:rFonts w:ascii="Times New Roman" w:hAnsi="Times New Roman" w:cs="Times New Roman"/>
                <w:color w:val="auto"/>
              </w:rPr>
            </w:pPr>
            <w:r>
              <w:rPr>
                <w:rFonts w:ascii="Times New Roman" w:hAnsi="Times New Roman" w:cs="Times New Roman"/>
                <w:color w:val="auto"/>
              </w:rPr>
              <w:object>
                <v:shape id="_x0000_i1026" o:spt="75" type="#_x0000_t75" style="height:22.15pt;width:153.95pt;" o:ole="t" filled="f" o:preferrelative="t" stroked="f" coordsize="21600,21600">
                  <v:path/>
                  <v:fill on="f" focussize="0,0"/>
                  <v:stroke on="f" joinstyle="miter"/>
                  <v:imagedata r:id="rId21" o:title=""/>
                  <o:lock v:ext="edit" aspectratio="t"/>
                  <w10:wrap type="none"/>
                  <w10:anchorlock/>
                </v:shape>
                <o:OLEObject Type="Embed" ProgID="Equation.3" ShapeID="_x0000_i1026" DrawAspect="Content" ObjectID="_1468075730" r:id="rId20">
                  <o:LockedField>false</o:LockedField>
                </o:OLEObject>
              </w:object>
            </w:r>
          </w:p>
          <w:p>
            <w:pPr>
              <w:ind w:firstLine="480" w:firstLineChars="200"/>
              <w:rPr>
                <w:rFonts w:ascii="Times New Roman" w:hAnsi="Times New Roman" w:cs="Times New Roman"/>
                <w:color w:val="auto"/>
              </w:rPr>
            </w:pPr>
            <w:r>
              <w:rPr>
                <w:rFonts w:ascii="Times New Roman" w:hAnsi="Times New Roman" w:cs="Times New Roman"/>
                <w:color w:val="auto"/>
              </w:rPr>
              <w:t>式中：Leqg ---建设项目声源在预测点的等效声级贡献值，dB(A)；</w:t>
            </w:r>
          </w:p>
          <w:p>
            <w:pPr>
              <w:ind w:firstLine="480" w:firstLineChars="200"/>
              <w:rPr>
                <w:rFonts w:ascii="Times New Roman" w:hAnsi="Times New Roman" w:cs="Times New Roman"/>
                <w:color w:val="auto"/>
              </w:rPr>
            </w:pPr>
            <w:r>
              <w:rPr>
                <w:rFonts w:ascii="Times New Roman" w:hAnsi="Times New Roman" w:cs="Times New Roman"/>
                <w:color w:val="auto"/>
              </w:rPr>
              <w:t>Leqb ---预测点的背景值，dB(A)。</w:t>
            </w:r>
          </w:p>
          <w:p>
            <w:pPr>
              <w:ind w:firstLine="480" w:firstLineChars="200"/>
              <w:rPr>
                <w:rFonts w:ascii="Times New Roman" w:hAnsi="Times New Roman" w:cs="Times New Roman"/>
                <w:color w:val="auto"/>
              </w:rPr>
            </w:pPr>
            <w:r>
              <w:rPr>
                <w:rFonts w:hint="eastAsia" w:ascii="Times New Roman" w:hAnsi="Times New Roman" w:cs="Times New Roman"/>
                <w:color w:val="auto"/>
              </w:rPr>
              <w:t>b.</w:t>
            </w:r>
            <w:r>
              <w:rPr>
                <w:rFonts w:ascii="Times New Roman" w:hAnsi="Times New Roman" w:cs="Times New Roman"/>
                <w:color w:val="auto"/>
              </w:rPr>
              <w:t>户外声传播衰减计算</w:t>
            </w:r>
          </w:p>
          <w:p>
            <w:pPr>
              <w:ind w:firstLine="480" w:firstLineChars="200"/>
              <w:rPr>
                <w:rFonts w:ascii="Times New Roman" w:hAnsi="Times New Roman" w:cs="Times New Roman"/>
                <w:color w:val="auto"/>
              </w:rPr>
            </w:pPr>
            <w:r>
              <w:rPr>
                <w:rFonts w:ascii="Times New Roman" w:hAnsi="Times New Roman" w:cs="Times New Roman"/>
                <w:color w:val="auto"/>
              </w:rPr>
              <w:t>户外声传播衰减包括几何发散（Adiv）、大气吸收（Aatm）、地面效应（Agr）屏障屏蔽（Abar）、其他多方面效应（Amisc）引起的衰减。</w:t>
            </w:r>
          </w:p>
          <w:p>
            <w:pPr>
              <w:ind w:firstLine="480" w:firstLineChars="200"/>
              <w:rPr>
                <w:rFonts w:ascii="Times New Roman" w:hAnsi="Times New Roman" w:cs="Times New Roman"/>
                <w:color w:val="auto"/>
              </w:rPr>
            </w:pPr>
            <w:r>
              <w:rPr>
                <w:rFonts w:ascii="Times New Roman" w:hAnsi="Times New Roman" w:cs="Times New Roman"/>
                <w:color w:val="auto"/>
              </w:rPr>
              <w:t>距声源点r处的A声级按下式计算：</w:t>
            </w:r>
          </w:p>
          <w:p>
            <w:pPr>
              <w:ind w:firstLine="480" w:firstLineChars="200"/>
              <w:jc w:val="center"/>
              <w:rPr>
                <w:rFonts w:ascii="Times New Roman" w:hAnsi="Times New Roman" w:cs="Times New Roman"/>
                <w:color w:val="auto"/>
              </w:rPr>
            </w:pPr>
            <w:r>
              <w:rPr>
                <w:rFonts w:ascii="Times New Roman" w:hAnsi="Times New Roman" w:cs="Times New Roman"/>
                <w:color w:val="auto"/>
              </w:rPr>
              <w:object>
                <v:shape id="_x0000_i1027" o:spt="75" type="#_x0000_t75" style="height:19.4pt;width:223.75pt;" o:ole="t" filled="f" o:preferrelative="t" stroked="f" coordsize="21600,21600">
                  <v:path/>
                  <v:fill on="f" focussize="0,0"/>
                  <v:stroke on="f" joinstyle="miter"/>
                  <v:imagedata r:id="rId23" o:title=""/>
                  <o:lock v:ext="edit" aspectratio="t"/>
                  <w10:wrap type="none"/>
                  <w10:anchorlock/>
                </v:shape>
                <o:OLEObject Type="Embed" ProgID="Equation.3" ShapeID="_x0000_i1027" DrawAspect="Content" ObjectID="_1468075731" r:id="rId22">
                  <o:LockedField>false</o:LockedField>
                </o:OLEObject>
              </w:object>
            </w:r>
          </w:p>
          <w:p>
            <w:pPr>
              <w:ind w:firstLine="480" w:firstLineChars="200"/>
              <w:rPr>
                <w:rFonts w:ascii="Times New Roman" w:hAnsi="Times New Roman" w:cs="Times New Roman"/>
                <w:color w:val="auto"/>
              </w:rPr>
            </w:pPr>
            <w:r>
              <w:rPr>
                <w:rFonts w:ascii="Times New Roman" w:hAnsi="Times New Roman" w:cs="Times New Roman"/>
                <w:color w:val="auto"/>
              </w:rPr>
              <w:t>在预测中考虑大气吸收衰减、室内声源等效室外声源等影响和计算方法。</w:t>
            </w:r>
          </w:p>
          <w:p>
            <w:pPr>
              <w:ind w:firstLine="480" w:firstLineChars="200"/>
              <w:rPr>
                <w:rFonts w:ascii="Times New Roman" w:hAnsi="Times New Roman" w:cs="Times New Roman"/>
                <w:color w:val="auto"/>
              </w:rPr>
            </w:pPr>
            <w:r>
              <w:rPr>
                <w:rFonts w:ascii="Times New Roman" w:hAnsi="Times New Roman" w:cs="Times New Roman"/>
                <w:color w:val="auto"/>
              </w:rPr>
              <w:t>（3）噪声预测结果及影响分析</w:t>
            </w:r>
          </w:p>
          <w:p>
            <w:pPr>
              <w:ind w:firstLine="480" w:firstLineChars="200"/>
              <w:rPr>
                <w:rFonts w:ascii="Times New Roman" w:hAnsi="Times New Roman" w:cs="Times New Roman"/>
                <w:color w:val="auto"/>
              </w:rPr>
            </w:pPr>
            <w:r>
              <w:rPr>
                <w:rFonts w:ascii="Times New Roman" w:hAnsi="Times New Roman" w:cs="Times New Roman"/>
                <w:color w:val="auto"/>
              </w:rPr>
              <w:t>根据噪声预测模式，各厂界的预测结果见表7-</w:t>
            </w:r>
            <w:r>
              <w:rPr>
                <w:rFonts w:hint="eastAsia" w:ascii="Times New Roman" w:hAnsi="Times New Roman" w:cs="Times New Roman"/>
                <w:color w:val="auto"/>
              </w:rPr>
              <w:t>10</w:t>
            </w:r>
            <w:r>
              <w:rPr>
                <w:rFonts w:ascii="Times New Roman" w:hAnsi="Times New Roman" w:cs="Times New Roman"/>
                <w:color w:val="auto"/>
              </w:rPr>
              <w:t>：</w:t>
            </w:r>
          </w:p>
          <w:p>
            <w:pPr>
              <w:spacing w:line="360" w:lineRule="auto"/>
              <w:jc w:val="center"/>
              <w:rPr>
                <w:rFonts w:ascii="Times New Roman" w:hAnsi="Times New Roman" w:cs="Times New Roman"/>
                <w:color w:val="auto"/>
                <w:sz w:val="21"/>
                <w:szCs w:val="21"/>
              </w:rPr>
            </w:pPr>
            <w:r>
              <w:rPr>
                <w:rFonts w:ascii="Times New Roman" w:hAnsi="Times New Roman" w:cs="Times New Roman"/>
                <w:b/>
                <w:bCs/>
                <w:color w:val="auto"/>
              </w:rPr>
              <w:t>表7-</w:t>
            </w:r>
            <w:r>
              <w:rPr>
                <w:rFonts w:hint="eastAsia" w:ascii="Times New Roman" w:hAnsi="Times New Roman" w:cs="Times New Roman"/>
                <w:b/>
                <w:bCs/>
                <w:color w:val="auto"/>
              </w:rPr>
              <w:t>10</w:t>
            </w:r>
            <w:r>
              <w:rPr>
                <w:rFonts w:ascii="Times New Roman" w:hAnsi="Times New Roman" w:cs="Times New Roman"/>
                <w:b/>
                <w:bCs/>
                <w:color w:val="auto"/>
              </w:rPr>
              <w:t xml:space="preserve">  项目厂界噪声预测结果 单位：dB(A)</w:t>
            </w:r>
          </w:p>
          <w:tbl>
            <w:tblPr>
              <w:tblStyle w:val="18"/>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00"/>
              <w:gridCol w:w="1740"/>
              <w:gridCol w:w="1020"/>
              <w:gridCol w:w="1005"/>
              <w:gridCol w:w="1515"/>
              <w:gridCol w:w="1245"/>
              <w:gridCol w:w="96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Merge w:val="restart"/>
                  <w:tcBorders>
                    <w:tl2br w:val="nil"/>
                    <w:tr2bl w:val="nil"/>
                  </w:tcBorders>
                  <w:vAlign w:val="center"/>
                </w:tcPr>
                <w:p>
                  <w:pPr>
                    <w:spacing w:before="156" w:beforeLines="5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序号</w:t>
                  </w:r>
                </w:p>
              </w:tc>
              <w:tc>
                <w:tcPr>
                  <w:tcW w:w="496" w:type="pct"/>
                  <w:vMerge w:val="restart"/>
                  <w:tcBorders>
                    <w:tl2br w:val="nil"/>
                    <w:tr2bl w:val="nil"/>
                  </w:tcBorders>
                  <w:vAlign w:val="center"/>
                </w:tcPr>
                <w:p>
                  <w:pPr>
                    <w:spacing w:before="156" w:beforeLines="50"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点位</w:t>
                  </w:r>
                </w:p>
              </w:tc>
              <w:tc>
                <w:tcPr>
                  <w:tcW w:w="959" w:type="pct"/>
                  <w:vMerge w:val="restart"/>
                  <w:tcBorders>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预测点距本项目边界水平距离</w:t>
                  </w:r>
                </w:p>
              </w:tc>
              <w:tc>
                <w:tcPr>
                  <w:tcW w:w="1116" w:type="pct"/>
                  <w:gridSpan w:val="2"/>
                  <w:tcBorders>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背景值</w:t>
                  </w:r>
                </w:p>
              </w:tc>
              <w:tc>
                <w:tcPr>
                  <w:tcW w:w="835" w:type="pct"/>
                  <w:tcBorders>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贡献值</w:t>
                  </w:r>
                </w:p>
              </w:tc>
              <w:tc>
                <w:tcPr>
                  <w:tcW w:w="1214" w:type="pct"/>
                  <w:gridSpan w:val="2"/>
                  <w:tcBorders>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预测值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Merge w:val="continue"/>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p>
              </w:tc>
              <w:tc>
                <w:tcPr>
                  <w:tcW w:w="496" w:type="pct"/>
                  <w:vMerge w:val="continue"/>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p>
              </w:tc>
              <w:tc>
                <w:tcPr>
                  <w:tcW w:w="959" w:type="pct"/>
                  <w:vMerge w:val="continue"/>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p>
              </w:tc>
              <w:tc>
                <w:tcPr>
                  <w:tcW w:w="562" w:type="pct"/>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昼间</w:t>
                  </w:r>
                </w:p>
              </w:tc>
              <w:tc>
                <w:tcPr>
                  <w:tcW w:w="554" w:type="pct"/>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夜间</w:t>
                  </w:r>
                </w:p>
              </w:tc>
              <w:tc>
                <w:tcPr>
                  <w:tcW w:w="835" w:type="pct"/>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昼间</w:t>
                  </w:r>
                  <w:r>
                    <w:rPr>
                      <w:rFonts w:hint="eastAsia" w:ascii="Times New Roman" w:hAnsi="Times New Roman" w:cs="Times New Roman"/>
                      <w:b/>
                      <w:bCs/>
                      <w:color w:val="auto"/>
                      <w:sz w:val="21"/>
                      <w:szCs w:val="21"/>
                    </w:rPr>
                    <w:t>/夜间</w:t>
                  </w:r>
                </w:p>
              </w:tc>
              <w:tc>
                <w:tcPr>
                  <w:tcW w:w="686" w:type="pct"/>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昼间</w:t>
                  </w:r>
                </w:p>
              </w:tc>
              <w:tc>
                <w:tcPr>
                  <w:tcW w:w="528" w:type="pct"/>
                  <w:tcBorders>
                    <w:bottom w:val="single" w:color="auto" w:sz="12" w:space="0"/>
                    <w:tl2br w:val="nil"/>
                    <w:tr2bl w:val="nil"/>
                  </w:tcBorders>
                  <w:vAlign w:val="center"/>
                </w:tcPr>
                <w:p>
                  <w:pPr>
                    <w:spacing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夜间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496"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东厂界</w:t>
                  </w:r>
                </w:p>
              </w:tc>
              <w:tc>
                <w:tcPr>
                  <w:tcW w:w="959"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1米</w:t>
                  </w:r>
                </w:p>
              </w:tc>
              <w:tc>
                <w:tcPr>
                  <w:tcW w:w="562"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54.3</w:t>
                  </w:r>
                </w:p>
              </w:tc>
              <w:tc>
                <w:tcPr>
                  <w:tcW w:w="554"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44.6</w:t>
                  </w:r>
                </w:p>
              </w:tc>
              <w:tc>
                <w:tcPr>
                  <w:tcW w:w="835"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36</w:t>
                  </w:r>
                </w:p>
              </w:tc>
              <w:tc>
                <w:tcPr>
                  <w:tcW w:w="686"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54.4</w:t>
                  </w:r>
                </w:p>
              </w:tc>
              <w:tc>
                <w:tcPr>
                  <w:tcW w:w="528" w:type="pct"/>
                  <w:tcBorders>
                    <w:top w:val="single" w:color="auto" w:sz="12" w:space="0"/>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45.2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496"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南厂界</w:t>
                  </w:r>
                </w:p>
              </w:tc>
              <w:tc>
                <w:tcPr>
                  <w:tcW w:w="95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1米</w:t>
                  </w:r>
                </w:p>
              </w:tc>
              <w:tc>
                <w:tcPr>
                  <w:tcW w:w="562"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55.0</w:t>
                  </w:r>
                </w:p>
              </w:tc>
              <w:tc>
                <w:tcPr>
                  <w:tcW w:w="554"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45.0</w:t>
                  </w:r>
                </w:p>
              </w:tc>
              <w:tc>
                <w:tcPr>
                  <w:tcW w:w="835"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38</w:t>
                  </w:r>
                </w:p>
              </w:tc>
              <w:tc>
                <w:tcPr>
                  <w:tcW w:w="686"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55.1</w:t>
                  </w: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3</w:t>
                  </w:r>
                </w:p>
              </w:tc>
              <w:tc>
                <w:tcPr>
                  <w:tcW w:w="496"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西厂界</w:t>
                  </w:r>
                </w:p>
              </w:tc>
              <w:tc>
                <w:tcPr>
                  <w:tcW w:w="95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1米</w:t>
                  </w:r>
                </w:p>
              </w:tc>
              <w:tc>
                <w:tcPr>
                  <w:tcW w:w="562"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55.9</w:t>
                  </w:r>
                </w:p>
              </w:tc>
              <w:tc>
                <w:tcPr>
                  <w:tcW w:w="554"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45.7</w:t>
                  </w:r>
                </w:p>
              </w:tc>
              <w:tc>
                <w:tcPr>
                  <w:tcW w:w="835"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35</w:t>
                  </w:r>
                </w:p>
              </w:tc>
              <w:tc>
                <w:tcPr>
                  <w:tcW w:w="686"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55.9</w:t>
                  </w: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46.1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w:t>
                  </w:r>
                </w:p>
              </w:tc>
              <w:tc>
                <w:tcPr>
                  <w:tcW w:w="496"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北厂界</w:t>
                  </w:r>
                </w:p>
              </w:tc>
              <w:tc>
                <w:tcPr>
                  <w:tcW w:w="95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1米</w:t>
                  </w:r>
                </w:p>
              </w:tc>
              <w:tc>
                <w:tcPr>
                  <w:tcW w:w="562"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56.4</w:t>
                  </w:r>
                </w:p>
              </w:tc>
              <w:tc>
                <w:tcPr>
                  <w:tcW w:w="554"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47.4</w:t>
                  </w:r>
                </w:p>
              </w:tc>
              <w:tc>
                <w:tcPr>
                  <w:tcW w:w="835"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36</w:t>
                  </w:r>
                </w:p>
              </w:tc>
              <w:tc>
                <w:tcPr>
                  <w:tcW w:w="686"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56.4</w:t>
                  </w:r>
                </w:p>
              </w:tc>
              <w:tc>
                <w:tcPr>
                  <w:tcW w:w="528"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47.7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4" w:type="pct"/>
                  <w:gridSpan w:val="2"/>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排放限值</w:t>
                  </w:r>
                </w:p>
              </w:tc>
              <w:tc>
                <w:tcPr>
                  <w:tcW w:w="4125" w:type="pct"/>
                  <w:gridSpan w:val="6"/>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昼间≤6</w:t>
                  </w:r>
                  <w:r>
                    <w:rPr>
                      <w:rFonts w:hint="eastAsia" w:ascii="Times New Roman" w:hAnsi="Times New Roman" w:cs="Times New Roman"/>
                      <w:color w:val="auto"/>
                      <w:sz w:val="21"/>
                      <w:szCs w:val="21"/>
                    </w:rPr>
                    <w:t>0</w:t>
                  </w:r>
                  <w:r>
                    <w:rPr>
                      <w:rFonts w:ascii="Times New Roman" w:hAnsi="Times New Roman" w:cs="Times New Roman"/>
                      <w:color w:val="auto"/>
                      <w:sz w:val="21"/>
                      <w:szCs w:val="21"/>
                    </w:rPr>
                    <w:t>dB（A）；夜间≤5</w:t>
                  </w:r>
                  <w:r>
                    <w:rPr>
                      <w:rFonts w:hint="eastAsia" w:ascii="Times New Roman" w:hAnsi="Times New Roman" w:cs="Times New Roman"/>
                      <w:color w:val="auto"/>
                      <w:sz w:val="21"/>
                      <w:szCs w:val="21"/>
                    </w:rPr>
                    <w:t>0</w:t>
                  </w:r>
                  <w:r>
                    <w:rPr>
                      <w:rFonts w:ascii="Times New Roman" w:hAnsi="Times New Roman" w:cs="Times New Roman"/>
                      <w:color w:val="auto"/>
                      <w:sz w:val="21"/>
                      <w:szCs w:val="21"/>
                    </w:rPr>
                    <w:t>dB（A）</w:t>
                  </w:r>
                </w:p>
              </w:tc>
            </w:tr>
          </w:tbl>
          <w:p>
            <w:pPr>
              <w:ind w:firstLine="480" w:firstLineChars="200"/>
              <w:rPr>
                <w:rFonts w:ascii="Times New Roman" w:hAnsi="Times New Roman" w:cs="Times New Roman"/>
                <w:color w:val="auto"/>
              </w:rPr>
            </w:pPr>
            <w:r>
              <w:rPr>
                <w:rFonts w:hint="eastAsia" w:ascii="Times New Roman" w:hAnsi="Times New Roman" w:cs="Times New Roman"/>
                <w:color w:val="auto"/>
              </w:rPr>
              <w:t>注：背景值</w:t>
            </w:r>
            <w:r>
              <w:rPr>
                <w:rFonts w:hint="eastAsia" w:ascii="Times New Roman" w:hAnsi="Times New Roman" w:cs="Times New Roman"/>
                <w:color w:val="auto"/>
                <w:lang w:eastAsia="zh-CN"/>
              </w:rPr>
              <w:t>为现状监测噪声，</w:t>
            </w:r>
            <w:r>
              <w:rPr>
                <w:rFonts w:hint="eastAsia" w:ascii="Times New Roman" w:hAnsi="Times New Roman" w:cs="Times New Roman"/>
                <w:color w:val="auto"/>
              </w:rPr>
              <w:t>贡献值</w:t>
            </w:r>
            <w:r>
              <w:rPr>
                <w:rFonts w:hint="eastAsia" w:ascii="Times New Roman" w:hAnsi="Times New Roman" w:cs="Times New Roman"/>
                <w:color w:val="auto"/>
                <w:lang w:eastAsia="zh-CN"/>
              </w:rPr>
              <w:t>为锅炉运行产生噪声，</w:t>
            </w:r>
            <w:r>
              <w:rPr>
                <w:rFonts w:hint="eastAsia" w:ascii="Times New Roman" w:hAnsi="Times New Roman" w:cs="Times New Roman"/>
                <w:color w:val="auto"/>
              </w:rPr>
              <w:t>预测值</w:t>
            </w:r>
            <w:r>
              <w:rPr>
                <w:rFonts w:hint="eastAsia" w:ascii="Times New Roman" w:hAnsi="Times New Roman" w:cs="Times New Roman"/>
                <w:color w:val="auto"/>
                <w:lang w:eastAsia="zh-CN"/>
              </w:rPr>
              <w:t>为锅炉运行后厂界噪声。</w:t>
            </w:r>
            <w:r>
              <w:rPr>
                <w:rFonts w:hint="eastAsia" w:ascii="Times New Roman" w:hAnsi="Times New Roman" w:cs="Times New Roman"/>
                <w:color w:val="auto"/>
              </w:rPr>
              <w:t>本项目引用湖南永蓝检测技术股份有限公司2020.11.09日对白象食品股份有限公司湖南分公司的常规监测数据（监测期间现有锅炉正常运行，见附件5）。</w:t>
            </w:r>
          </w:p>
          <w:p>
            <w:pPr>
              <w:ind w:firstLine="480" w:firstLineChars="200"/>
              <w:rPr>
                <w:rFonts w:ascii="Times New Roman" w:hAnsi="Times New Roman" w:cs="Times New Roman"/>
                <w:color w:val="auto"/>
              </w:rPr>
            </w:pPr>
            <w:r>
              <w:rPr>
                <w:rFonts w:ascii="Times New Roman" w:hAnsi="Times New Roman" w:cs="Times New Roman"/>
                <w:color w:val="auto"/>
              </w:rPr>
              <w:t>项目采用</w:t>
            </w:r>
            <w:r>
              <w:rPr>
                <w:rFonts w:hint="eastAsia" w:ascii="Times New Roman" w:hAnsi="Times New Roman" w:cs="Times New Roman"/>
                <w:color w:val="auto"/>
              </w:rPr>
              <w:t>12</w:t>
            </w:r>
            <w:r>
              <w:rPr>
                <w:rFonts w:ascii="Times New Roman" w:hAnsi="Times New Roman" w:cs="Times New Roman"/>
                <w:color w:val="auto"/>
              </w:rPr>
              <w:t>小时一班制。</w:t>
            </w:r>
            <w:r>
              <w:rPr>
                <w:rFonts w:hint="eastAsia" w:ascii="Times New Roman" w:hAnsi="Times New Roman" w:cs="Times New Roman"/>
                <w:color w:val="auto"/>
              </w:rPr>
              <w:t>一天两班</w:t>
            </w:r>
            <w:r>
              <w:rPr>
                <w:rFonts w:ascii="Times New Roman" w:hAnsi="Times New Roman" w:cs="Times New Roman"/>
                <w:color w:val="auto"/>
              </w:rPr>
              <w:t>。从上述预测结果可以看出，在采取了降噪措施后，本项目各厂界噪声均能满足</w:t>
            </w:r>
            <w:r>
              <w:rPr>
                <w:rFonts w:ascii="Times New Roman" w:hAnsi="Times New Roman" w:eastAsia="宋体" w:cs="Times New Roman"/>
                <w:color w:val="auto"/>
              </w:rPr>
              <w:t>《工业企业厂界环境噪声排放标准》（GB12348-2008）</w:t>
            </w:r>
            <w:r>
              <w:rPr>
                <w:rFonts w:ascii="Times New Roman" w:hAnsi="Times New Roman" w:cs="Times New Roman"/>
                <w:color w:val="auto"/>
              </w:rPr>
              <w:t>中2类标准的要求。因此本项目噪声对周围环境影响较小。</w:t>
            </w:r>
          </w:p>
          <w:p>
            <w:pPr>
              <w:pStyle w:val="6"/>
              <w:ind w:firstLine="482"/>
              <w:outlineLvl w:val="2"/>
              <w:rPr>
                <w:rFonts w:cs="Times New Roman"/>
                <w:bCs/>
                <w:color w:val="auto"/>
                <w:szCs w:val="20"/>
              </w:rPr>
            </w:pPr>
            <w:r>
              <w:rPr>
                <w:rFonts w:cs="Times New Roman"/>
                <w:bCs/>
                <w:color w:val="auto"/>
                <w:szCs w:val="20"/>
              </w:rPr>
              <w:t>2.4固废环境影响分析</w:t>
            </w:r>
          </w:p>
          <w:p>
            <w:pPr>
              <w:ind w:firstLine="480" w:firstLineChars="200"/>
              <w:rPr>
                <w:color w:val="auto"/>
              </w:rPr>
            </w:pPr>
            <w:r>
              <w:rPr>
                <w:rFonts w:hint="eastAsia"/>
                <w:color w:val="auto"/>
              </w:rPr>
              <w:t>本项目运行过程中，不产生固体废物，因此对周围环境不产生影响。</w:t>
            </w:r>
          </w:p>
          <w:p>
            <w:pPr>
              <w:pStyle w:val="6"/>
              <w:ind w:firstLine="482"/>
              <w:outlineLvl w:val="2"/>
              <w:rPr>
                <w:color w:val="auto"/>
              </w:rPr>
            </w:pPr>
            <w:r>
              <w:rPr>
                <w:rFonts w:hint="eastAsia"/>
                <w:color w:val="auto"/>
              </w:rPr>
              <w:t>2.5环境风险</w:t>
            </w:r>
            <w:r>
              <w:rPr>
                <w:color w:val="auto"/>
              </w:rPr>
              <w:t>影响分析</w:t>
            </w:r>
          </w:p>
          <w:p>
            <w:pPr>
              <w:ind w:firstLine="480" w:firstLineChars="200"/>
              <w:rPr>
                <w:rFonts w:ascii="Times New Roman" w:hAnsi="Times New Roman" w:cs="Times New Roman"/>
                <w:color w:val="auto"/>
              </w:rPr>
            </w:pPr>
            <w:r>
              <w:rPr>
                <w:rFonts w:hint="eastAsia"/>
                <w:color w:val="auto"/>
              </w:rPr>
              <w:t>（</w:t>
            </w:r>
            <w:r>
              <w:rPr>
                <w:rFonts w:ascii="Times New Roman" w:hAnsi="Times New Roman" w:cs="Times New Roman"/>
                <w:color w:val="auto"/>
              </w:rPr>
              <w:t>1）风险识别</w:t>
            </w:r>
          </w:p>
          <w:p>
            <w:pPr>
              <w:ind w:firstLine="480" w:firstLineChars="200"/>
              <w:rPr>
                <w:rFonts w:ascii="Times New Roman" w:hAnsi="Times New Roman" w:cs="Times New Roman"/>
                <w:color w:val="auto"/>
              </w:rPr>
            </w:pPr>
            <w:r>
              <w:rPr>
                <w:rFonts w:ascii="Times New Roman" w:hAnsi="Times New Roman" w:cs="Times New Roman"/>
                <w:color w:val="auto"/>
              </w:rPr>
              <w:t>项目天然气为管道气，无储存区，</w:t>
            </w:r>
            <w:r>
              <w:rPr>
                <w:rFonts w:hint="eastAsia" w:ascii="Times New Roman" w:hAnsi="Times New Roman" w:cs="Times New Roman"/>
                <w:color w:val="auto"/>
              </w:rPr>
              <w:t>存量为零，</w:t>
            </w:r>
            <w:r>
              <w:rPr>
                <w:rFonts w:ascii="Times New Roman" w:hAnsi="Times New Roman" w:cs="Times New Roman"/>
                <w:color w:val="auto"/>
              </w:rPr>
              <w:t>根据《建设项目环境风险评价技术导则》（HJ/T169-2004）相关要求，项目采用的原材料、项目营运期所产生的“三废”物质中均不存在重大危险源。因此，该项目生产过程中无重大环境风险。</w:t>
            </w:r>
          </w:p>
          <w:p>
            <w:pPr>
              <w:numPr>
                <w:ilvl w:val="0"/>
                <w:numId w:val="9"/>
              </w:numPr>
              <w:ind w:firstLine="480" w:firstLineChars="200"/>
              <w:rPr>
                <w:rFonts w:ascii="Times New Roman" w:hAnsi="Times New Roman" w:cs="Times New Roman"/>
                <w:color w:val="auto"/>
              </w:rPr>
            </w:pPr>
            <w:r>
              <w:rPr>
                <w:rFonts w:hint="eastAsia" w:ascii="Times New Roman" w:hAnsi="Times New Roman" w:cs="Times New Roman"/>
                <w:color w:val="auto"/>
              </w:rPr>
              <w:t>风险潜势判断</w:t>
            </w:r>
          </w:p>
          <w:p>
            <w:pPr>
              <w:ind w:firstLine="480" w:firstLineChars="200"/>
              <w:rPr>
                <w:rFonts w:ascii="Times New Roman" w:hAnsi="Times New Roman" w:cs="Times New Roman"/>
                <w:color w:val="auto"/>
              </w:rPr>
            </w:pPr>
            <w:r>
              <w:rPr>
                <w:rFonts w:ascii="Times New Roman" w:hAnsi="Times New Roman" w:cs="Times New Roman"/>
                <w:color w:val="auto"/>
              </w:rPr>
              <w:t>根据《建设项目环境风险评价技术导则》（HJ169-2018），本项目</w:t>
            </w:r>
            <w:r>
              <w:rPr>
                <w:rFonts w:hint="eastAsia" w:ascii="Times New Roman" w:hAnsi="Times New Roman" w:cs="Times New Roman"/>
                <w:color w:val="auto"/>
              </w:rPr>
              <w:t>风险物质为天然气，</w:t>
            </w:r>
            <w:r>
              <w:rPr>
                <w:rFonts w:ascii="Times New Roman" w:hAnsi="Times New Roman" w:cs="Times New Roman"/>
                <w:color w:val="auto"/>
              </w:rPr>
              <w:t>Q=0，可直接判定本项目环境风险潜势为Ⅰ。</w:t>
            </w:r>
          </w:p>
          <w:p>
            <w:pPr>
              <w:spacing w:line="360" w:lineRule="auto"/>
              <w:jc w:val="center"/>
              <w:rPr>
                <w:rFonts w:ascii="Times New Roman" w:hAnsi="Times New Roman" w:cs="Times New Roman"/>
                <w:b/>
                <w:bCs/>
                <w:color w:val="auto"/>
                <w:szCs w:val="24"/>
              </w:rPr>
            </w:pPr>
            <w:r>
              <w:rPr>
                <w:rFonts w:ascii="Times New Roman" w:hAnsi="Times New Roman" w:cs="Times New Roman"/>
                <w:b/>
                <w:bCs/>
                <w:color w:val="auto"/>
                <w:szCs w:val="24"/>
              </w:rPr>
              <w:t>表7-</w:t>
            </w:r>
            <w:r>
              <w:rPr>
                <w:rFonts w:hint="eastAsia" w:ascii="Times New Roman" w:hAnsi="Times New Roman" w:cs="Times New Roman"/>
                <w:b/>
                <w:bCs/>
                <w:color w:val="auto"/>
                <w:szCs w:val="24"/>
              </w:rPr>
              <w:t>11</w:t>
            </w:r>
            <w:r>
              <w:rPr>
                <w:rFonts w:ascii="Times New Roman" w:hAnsi="Times New Roman" w:cs="Times New Roman"/>
                <w:b/>
                <w:bCs/>
                <w:color w:val="auto"/>
                <w:szCs w:val="24"/>
              </w:rPr>
              <w:t xml:space="preserve">  评</w:t>
            </w:r>
            <w:r>
              <w:rPr>
                <w:rFonts w:hint="eastAsia" w:ascii="Times New Roman" w:hAnsi="Times New Roman" w:cs="Times New Roman"/>
                <w:b/>
                <w:bCs/>
                <w:color w:val="auto"/>
                <w:szCs w:val="24"/>
              </w:rPr>
              <w:t>价工作级别</w:t>
            </w:r>
          </w:p>
          <w:tbl>
            <w:tblPr>
              <w:tblStyle w:val="17"/>
              <w:tblW w:w="4998"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811"/>
              <w:gridCol w:w="1699"/>
              <w:gridCol w:w="1924"/>
              <w:gridCol w:w="2042"/>
              <w:gridCol w:w="1590"/>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999" w:type="pct"/>
                  <w:tcBorders>
                    <w:bottom w:val="single" w:color="auto" w:sz="12" w:space="0"/>
                  </w:tcBorders>
                  <w:vAlign w:val="center"/>
                </w:tcPr>
                <w:p>
                  <w:pPr>
                    <w:spacing w:line="360" w:lineRule="exact"/>
                    <w:jc w:val="center"/>
                    <w:rPr>
                      <w:rFonts w:ascii="Times New Roman" w:hAnsi="Times New Roman" w:cs="Times New Roman"/>
                      <w:b/>
                      <w:color w:val="auto"/>
                      <w:kern w:val="0"/>
                      <w:sz w:val="21"/>
                      <w:szCs w:val="21"/>
                    </w:rPr>
                  </w:pPr>
                  <w:r>
                    <w:rPr>
                      <w:rFonts w:ascii="Times New Roman" w:hAnsi="Times New Roman" w:cs="Times New Roman"/>
                      <w:b/>
                      <w:color w:val="auto"/>
                      <w:kern w:val="0"/>
                      <w:sz w:val="21"/>
                      <w:szCs w:val="21"/>
                    </w:rPr>
                    <w:t>环境风险潜势</w:t>
                  </w:r>
                </w:p>
              </w:tc>
              <w:tc>
                <w:tcPr>
                  <w:tcW w:w="937" w:type="pct"/>
                  <w:tcBorders>
                    <w:bottom w:val="single" w:color="auto" w:sz="12" w:space="0"/>
                  </w:tcBorders>
                  <w:vAlign w:val="center"/>
                </w:tcPr>
                <w:p>
                  <w:pPr>
                    <w:spacing w:line="360" w:lineRule="exact"/>
                    <w:jc w:val="center"/>
                    <w:rPr>
                      <w:rFonts w:ascii="Times New Roman" w:hAnsi="Times New Roman" w:cs="Times New Roman"/>
                      <w:b/>
                      <w:color w:val="auto"/>
                      <w:kern w:val="0"/>
                      <w:sz w:val="21"/>
                      <w:szCs w:val="21"/>
                      <w:vertAlign w:val="superscript"/>
                    </w:rPr>
                  </w:pPr>
                  <w:r>
                    <w:rPr>
                      <w:rFonts w:ascii="Times New Roman" w:hAnsi="Times New Roman" w:cs="Times New Roman"/>
                      <w:b/>
                      <w:color w:val="auto"/>
                      <w:kern w:val="0"/>
                      <w:sz w:val="21"/>
                      <w:szCs w:val="21"/>
                    </w:rPr>
                    <w:t>Ⅳ、Ⅳ</w:t>
                  </w:r>
                  <w:r>
                    <w:rPr>
                      <w:rFonts w:ascii="Times New Roman" w:hAnsi="Times New Roman" w:cs="Times New Roman"/>
                      <w:b/>
                      <w:color w:val="auto"/>
                      <w:kern w:val="0"/>
                      <w:sz w:val="21"/>
                      <w:szCs w:val="21"/>
                      <w:vertAlign w:val="superscript"/>
                    </w:rPr>
                    <w:t>+</w:t>
                  </w:r>
                </w:p>
              </w:tc>
              <w:tc>
                <w:tcPr>
                  <w:tcW w:w="1061" w:type="pct"/>
                  <w:tcBorders>
                    <w:bottom w:val="single" w:color="auto" w:sz="12" w:space="0"/>
                  </w:tcBorders>
                  <w:vAlign w:val="center"/>
                </w:tcPr>
                <w:p>
                  <w:pPr>
                    <w:spacing w:line="360" w:lineRule="exact"/>
                    <w:jc w:val="center"/>
                    <w:rPr>
                      <w:rFonts w:ascii="Times New Roman" w:hAnsi="Times New Roman" w:cs="Times New Roman"/>
                      <w:b/>
                      <w:color w:val="auto"/>
                      <w:kern w:val="0"/>
                      <w:sz w:val="21"/>
                      <w:szCs w:val="21"/>
                    </w:rPr>
                  </w:pPr>
                  <w:r>
                    <w:rPr>
                      <w:rFonts w:ascii="Times New Roman" w:hAnsi="Times New Roman" w:cs="Times New Roman"/>
                      <w:b/>
                      <w:color w:val="auto"/>
                      <w:kern w:val="0"/>
                      <w:sz w:val="21"/>
                      <w:szCs w:val="21"/>
                    </w:rPr>
                    <w:t>Ⅲ</w:t>
                  </w:r>
                </w:p>
              </w:tc>
              <w:tc>
                <w:tcPr>
                  <w:tcW w:w="1126" w:type="pct"/>
                  <w:tcBorders>
                    <w:bottom w:val="single" w:color="auto" w:sz="12" w:space="0"/>
                  </w:tcBorders>
                  <w:vAlign w:val="center"/>
                </w:tcPr>
                <w:p>
                  <w:pPr>
                    <w:spacing w:line="360" w:lineRule="exact"/>
                    <w:jc w:val="center"/>
                    <w:rPr>
                      <w:rFonts w:ascii="Times New Roman" w:hAnsi="Times New Roman" w:cs="Times New Roman"/>
                      <w:b/>
                      <w:color w:val="auto"/>
                      <w:kern w:val="0"/>
                      <w:sz w:val="21"/>
                      <w:szCs w:val="21"/>
                    </w:rPr>
                  </w:pPr>
                  <w:r>
                    <w:rPr>
                      <w:rFonts w:ascii="Times New Roman" w:hAnsi="Times New Roman" w:cs="Times New Roman"/>
                      <w:b/>
                      <w:color w:val="auto"/>
                      <w:kern w:val="0"/>
                      <w:sz w:val="21"/>
                      <w:szCs w:val="21"/>
                    </w:rPr>
                    <w:t>Ⅱ</w:t>
                  </w:r>
                </w:p>
              </w:tc>
              <w:tc>
                <w:tcPr>
                  <w:tcW w:w="874" w:type="pct"/>
                  <w:tcBorders>
                    <w:bottom w:val="single" w:color="auto" w:sz="12" w:space="0"/>
                  </w:tcBorders>
                  <w:vAlign w:val="center"/>
                </w:tcPr>
                <w:p>
                  <w:pPr>
                    <w:spacing w:line="360" w:lineRule="exact"/>
                    <w:jc w:val="center"/>
                    <w:rPr>
                      <w:rFonts w:ascii="Times New Roman" w:hAnsi="Times New Roman" w:cs="Times New Roman"/>
                      <w:b/>
                      <w:color w:val="auto"/>
                      <w:kern w:val="0"/>
                      <w:sz w:val="21"/>
                      <w:szCs w:val="21"/>
                    </w:rPr>
                  </w:pPr>
                  <w:r>
                    <w:rPr>
                      <w:rFonts w:ascii="Times New Roman" w:hAnsi="Times New Roman" w:cs="Times New Roman"/>
                      <w:b/>
                      <w:color w:val="auto"/>
                      <w:kern w:val="0"/>
                      <w:sz w:val="21"/>
                      <w:szCs w:val="21"/>
                    </w:rPr>
                    <w:t>Ⅰ</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999" w:type="pct"/>
                  <w:tcBorders>
                    <w:top w:val="single" w:color="auto" w:sz="12" w:space="0"/>
                    <w:tl2br w:val="nil"/>
                    <w:tr2bl w:val="nil"/>
                  </w:tcBorders>
                  <w:vAlign w:val="center"/>
                </w:tcPr>
                <w:p>
                  <w:pPr>
                    <w:spacing w:line="360" w:lineRule="exact"/>
                    <w:jc w:val="center"/>
                    <w:rPr>
                      <w:rFonts w:ascii="Times New Roman" w:hAnsi="Times New Roman" w:cs="Times New Roman"/>
                      <w:bCs/>
                      <w:color w:val="auto"/>
                      <w:kern w:val="0"/>
                      <w:sz w:val="21"/>
                      <w:szCs w:val="21"/>
                    </w:rPr>
                  </w:pPr>
                  <w:r>
                    <w:rPr>
                      <w:rFonts w:ascii="Times New Roman" w:hAnsi="Times New Roman" w:cs="Times New Roman"/>
                      <w:color w:val="auto"/>
                      <w:kern w:val="0"/>
                      <w:sz w:val="21"/>
                      <w:szCs w:val="21"/>
                    </w:rPr>
                    <w:t>评价工作等级</w:t>
                  </w:r>
                </w:p>
              </w:tc>
              <w:tc>
                <w:tcPr>
                  <w:tcW w:w="937" w:type="pct"/>
                  <w:tcBorders>
                    <w:top w:val="single" w:color="auto" w:sz="12" w:space="0"/>
                    <w:tl2br w:val="nil"/>
                    <w:tr2bl w:val="nil"/>
                  </w:tcBorders>
                  <w:vAlign w:val="center"/>
                </w:tcPr>
                <w:p>
                  <w:pPr>
                    <w:spacing w:line="360" w:lineRule="exact"/>
                    <w:jc w:val="center"/>
                    <w:rPr>
                      <w:rFonts w:ascii="Times New Roman" w:hAnsi="Times New Roman" w:cs="Times New Roman"/>
                      <w:bCs/>
                      <w:color w:val="auto"/>
                      <w:kern w:val="0"/>
                      <w:sz w:val="21"/>
                      <w:szCs w:val="21"/>
                    </w:rPr>
                  </w:pPr>
                  <w:r>
                    <w:rPr>
                      <w:rFonts w:ascii="Times New Roman" w:hAnsi="Times New Roman" w:cs="Times New Roman"/>
                      <w:bCs/>
                      <w:color w:val="auto"/>
                      <w:kern w:val="0"/>
                      <w:sz w:val="21"/>
                      <w:szCs w:val="21"/>
                    </w:rPr>
                    <w:t>一</w:t>
                  </w:r>
                </w:p>
              </w:tc>
              <w:tc>
                <w:tcPr>
                  <w:tcW w:w="1061" w:type="pct"/>
                  <w:tcBorders>
                    <w:top w:val="single" w:color="auto" w:sz="12" w:space="0"/>
                    <w:tl2br w:val="nil"/>
                    <w:tr2bl w:val="nil"/>
                  </w:tcBorders>
                  <w:vAlign w:val="center"/>
                </w:tcPr>
                <w:p>
                  <w:pPr>
                    <w:spacing w:line="360" w:lineRule="exact"/>
                    <w:jc w:val="center"/>
                    <w:rPr>
                      <w:rFonts w:ascii="Times New Roman" w:hAnsi="Times New Roman" w:cs="Times New Roman"/>
                      <w:bCs/>
                      <w:color w:val="auto"/>
                      <w:kern w:val="0"/>
                      <w:sz w:val="21"/>
                      <w:szCs w:val="21"/>
                    </w:rPr>
                  </w:pPr>
                  <w:r>
                    <w:rPr>
                      <w:rFonts w:ascii="Times New Roman" w:hAnsi="Times New Roman" w:cs="Times New Roman"/>
                      <w:bCs/>
                      <w:color w:val="auto"/>
                      <w:kern w:val="0"/>
                      <w:sz w:val="21"/>
                      <w:szCs w:val="21"/>
                    </w:rPr>
                    <w:t>二</w:t>
                  </w:r>
                </w:p>
              </w:tc>
              <w:tc>
                <w:tcPr>
                  <w:tcW w:w="1126" w:type="pct"/>
                  <w:tcBorders>
                    <w:top w:val="single" w:color="auto" w:sz="12" w:space="0"/>
                    <w:tl2br w:val="nil"/>
                    <w:tr2bl w:val="nil"/>
                  </w:tcBorders>
                  <w:vAlign w:val="center"/>
                </w:tcPr>
                <w:p>
                  <w:pPr>
                    <w:spacing w:line="360" w:lineRule="exact"/>
                    <w:jc w:val="center"/>
                    <w:rPr>
                      <w:rFonts w:ascii="Times New Roman" w:hAnsi="Times New Roman" w:cs="Times New Roman"/>
                      <w:bCs/>
                      <w:color w:val="auto"/>
                      <w:kern w:val="0"/>
                      <w:sz w:val="21"/>
                      <w:szCs w:val="21"/>
                    </w:rPr>
                  </w:pPr>
                  <w:r>
                    <w:rPr>
                      <w:rFonts w:ascii="Times New Roman" w:hAnsi="Times New Roman" w:cs="Times New Roman"/>
                      <w:bCs/>
                      <w:color w:val="auto"/>
                      <w:kern w:val="0"/>
                      <w:sz w:val="21"/>
                      <w:szCs w:val="21"/>
                    </w:rPr>
                    <w:t>三</w:t>
                  </w:r>
                </w:p>
              </w:tc>
              <w:tc>
                <w:tcPr>
                  <w:tcW w:w="874" w:type="pct"/>
                  <w:tcBorders>
                    <w:top w:val="single" w:color="auto" w:sz="12" w:space="0"/>
                    <w:tl2br w:val="nil"/>
                    <w:tr2bl w:val="nil"/>
                  </w:tcBorders>
                  <w:vAlign w:val="center"/>
                </w:tcPr>
                <w:p>
                  <w:pPr>
                    <w:spacing w:line="360" w:lineRule="exact"/>
                    <w:jc w:val="center"/>
                    <w:rPr>
                      <w:rFonts w:ascii="Times New Roman" w:hAnsi="Times New Roman" w:cs="Times New Roman"/>
                      <w:bCs/>
                      <w:color w:val="auto"/>
                      <w:kern w:val="0"/>
                      <w:sz w:val="21"/>
                      <w:szCs w:val="21"/>
                      <w:vertAlign w:val="superscript"/>
                    </w:rPr>
                  </w:pPr>
                  <w:r>
                    <w:rPr>
                      <w:rFonts w:ascii="Times New Roman" w:hAnsi="Times New Roman" w:cs="Times New Roman"/>
                      <w:bCs/>
                      <w:color w:val="auto"/>
                      <w:kern w:val="0"/>
                      <w:sz w:val="21"/>
                      <w:szCs w:val="21"/>
                    </w:rPr>
                    <w:t>简单分析</w:t>
                  </w:r>
                  <w:r>
                    <w:rPr>
                      <w:rFonts w:ascii="Times New Roman" w:hAnsi="Times New Roman" w:cs="Times New Roman"/>
                      <w:bCs/>
                      <w:color w:val="auto"/>
                      <w:kern w:val="0"/>
                      <w:sz w:val="21"/>
                      <w:szCs w:val="21"/>
                      <w:vertAlign w:val="superscript"/>
                    </w:rPr>
                    <w:t>a</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0" w:hRule="atLeast"/>
                <w:jc w:val="center"/>
              </w:trPr>
              <w:tc>
                <w:tcPr>
                  <w:tcW w:w="5000" w:type="pct"/>
                  <w:gridSpan w:val="5"/>
                  <w:tcBorders>
                    <w:tl2br w:val="nil"/>
                    <w:tr2bl w:val="nil"/>
                  </w:tcBorders>
                  <w:vAlign w:val="center"/>
                </w:tcPr>
                <w:p>
                  <w:pPr>
                    <w:spacing w:line="360" w:lineRule="exact"/>
                    <w:jc w:val="left"/>
                    <w:rPr>
                      <w:rFonts w:ascii="Times New Roman" w:hAnsi="Times New Roman" w:cs="Times New Roman"/>
                      <w:bCs/>
                      <w:color w:val="auto"/>
                      <w:kern w:val="0"/>
                      <w:sz w:val="21"/>
                      <w:szCs w:val="21"/>
                    </w:rPr>
                  </w:pPr>
                  <w:r>
                    <w:rPr>
                      <w:rFonts w:ascii="Times New Roman" w:hAnsi="Times New Roman" w:cs="Times New Roman"/>
                      <w:bCs/>
                      <w:color w:val="auto"/>
                      <w:kern w:val="0"/>
                      <w:sz w:val="21"/>
                      <w:szCs w:val="21"/>
                    </w:rPr>
                    <w:t>a是相对于详细评价工作内容而言，在描述危险物质、环境影响途径、环境危害后果、风险防范措施等方面给出定性的说明。见附录A。</w:t>
                  </w:r>
                </w:p>
              </w:tc>
            </w:tr>
          </w:tbl>
          <w:p>
            <w:pPr>
              <w:ind w:firstLine="480" w:firstLineChars="200"/>
              <w:rPr>
                <w:color w:val="auto"/>
              </w:rPr>
            </w:pPr>
            <w:r>
              <w:rPr>
                <w:rFonts w:hint="eastAsia" w:ascii="Times New Roman" w:hAnsi="Times New Roman" w:cs="Times New Roman"/>
                <w:color w:val="auto"/>
              </w:rPr>
              <w:t>综上，确定本项目评价工作等级为简单分析。</w:t>
            </w:r>
          </w:p>
          <w:p>
            <w:pPr>
              <w:ind w:firstLine="480" w:firstLineChars="200"/>
              <w:rPr>
                <w:rFonts w:ascii="Times New Roman" w:hAnsi="Times New Roman" w:cs="Times New Roman"/>
                <w:color w:val="auto"/>
              </w:rPr>
            </w:pPr>
            <w:r>
              <w:rPr>
                <w:rFonts w:ascii="Times New Roman" w:hAnsi="Times New Roman" w:cs="Times New Roman"/>
                <w:color w:val="auto"/>
              </w:rPr>
              <w:t>（</w:t>
            </w:r>
            <w:r>
              <w:rPr>
                <w:rFonts w:hint="eastAsia" w:ascii="Times New Roman" w:hAnsi="Times New Roman" w:cs="Times New Roman"/>
                <w:color w:val="auto"/>
              </w:rPr>
              <w:t>3</w:t>
            </w:r>
            <w:r>
              <w:rPr>
                <w:rFonts w:ascii="Times New Roman" w:hAnsi="Times New Roman" w:cs="Times New Roman"/>
                <w:color w:val="auto"/>
              </w:rPr>
              <w:t>）风险防范措施及应急措施</w:t>
            </w:r>
          </w:p>
          <w:p>
            <w:pPr>
              <w:ind w:firstLine="480" w:firstLineChars="200"/>
              <w:rPr>
                <w:rFonts w:ascii="Times New Roman" w:hAnsi="Times New Roman" w:cs="Times New Roman"/>
                <w:color w:val="auto"/>
              </w:rPr>
            </w:pPr>
            <w:r>
              <w:rPr>
                <w:rFonts w:ascii="Times New Roman" w:hAnsi="Times New Roman" w:cs="Times New Roman"/>
                <w:color w:val="auto"/>
              </w:rPr>
              <w:t>项目虽无重大环境风险，但是在生产过程中也应做出相应的防范措施：</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1 \* GB3 </w:instrText>
            </w:r>
            <w:r>
              <w:rPr>
                <w:rFonts w:ascii="Times New Roman" w:hAnsi="Times New Roman" w:cs="Times New Roman"/>
                <w:color w:val="auto"/>
              </w:rPr>
              <w:fldChar w:fldCharType="separate"/>
            </w:r>
            <w:r>
              <w:rPr>
                <w:rFonts w:ascii="Times New Roman" w:hAnsi="Times New Roman" w:cs="Times New Roman"/>
                <w:color w:val="auto"/>
              </w:rPr>
              <w:t>①</w:t>
            </w:r>
            <w:r>
              <w:rPr>
                <w:rFonts w:ascii="Times New Roman" w:hAnsi="Times New Roman" w:cs="Times New Roman"/>
                <w:color w:val="auto"/>
              </w:rPr>
              <w:fldChar w:fldCharType="end"/>
            </w:r>
            <w:r>
              <w:rPr>
                <w:rFonts w:ascii="Times New Roman" w:hAnsi="Times New Roman" w:cs="Times New Roman"/>
                <w:color w:val="auto"/>
              </w:rPr>
              <w:t>严禁烟火，加强管理，严格操作规范，制定一系列的防火规章制度；车间进口处明显位置设立醒目的严禁烟火标志。</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2 \* GB3 </w:instrText>
            </w:r>
            <w:r>
              <w:rPr>
                <w:rFonts w:ascii="Times New Roman" w:hAnsi="Times New Roman" w:cs="Times New Roman"/>
                <w:color w:val="auto"/>
              </w:rPr>
              <w:fldChar w:fldCharType="separate"/>
            </w:r>
            <w:r>
              <w:rPr>
                <w:rFonts w:ascii="Times New Roman" w:hAnsi="Times New Roman" w:cs="Times New Roman"/>
                <w:color w:val="auto"/>
              </w:rPr>
              <w:t>②</w:t>
            </w:r>
            <w:r>
              <w:rPr>
                <w:rFonts w:ascii="Times New Roman" w:hAnsi="Times New Roman" w:cs="Times New Roman"/>
                <w:color w:val="auto"/>
              </w:rPr>
              <w:fldChar w:fldCharType="end"/>
            </w:r>
            <w:r>
              <w:rPr>
                <w:rFonts w:ascii="Times New Roman" w:hAnsi="Times New Roman" w:cs="Times New Roman"/>
                <w:color w:val="auto"/>
              </w:rPr>
              <w:t>按照《建筑灭火器配置设计规范》（GB50140-2005）规定，配置相应的灭火器类型（干粉灭火器等）与数量，并在火灾危险场所设置报警装置。</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3 \* GB3 </w:instrText>
            </w:r>
            <w:r>
              <w:rPr>
                <w:rFonts w:ascii="Times New Roman" w:hAnsi="Times New Roman" w:cs="Times New Roman"/>
                <w:color w:val="auto"/>
              </w:rPr>
              <w:fldChar w:fldCharType="separate"/>
            </w:r>
            <w:r>
              <w:rPr>
                <w:rFonts w:ascii="Times New Roman" w:hAnsi="Times New Roman" w:cs="Times New Roman"/>
                <w:color w:val="auto"/>
              </w:rPr>
              <w:t>③</w:t>
            </w:r>
            <w:r>
              <w:rPr>
                <w:rFonts w:ascii="Times New Roman" w:hAnsi="Times New Roman" w:cs="Times New Roman"/>
                <w:color w:val="auto"/>
              </w:rPr>
              <w:fldChar w:fldCharType="end"/>
            </w:r>
            <w:r>
              <w:rPr>
                <w:rFonts w:ascii="Times New Roman" w:hAnsi="Times New Roman" w:cs="Times New Roman"/>
                <w:color w:val="auto"/>
              </w:rPr>
              <w:t>生产装置的供电、供水等公用设施必须加强日常管理，确保满足正常生产和事故状态下的要求。</w:t>
            </w:r>
          </w:p>
          <w:p>
            <w:pPr>
              <w:ind w:firstLine="480" w:firstLineChars="200"/>
              <w:rPr>
                <w:rFonts w:ascii="Times New Roman" w:hAnsi="Times New Roman" w:cs="Times New Roman"/>
                <w:color w:val="auto"/>
              </w:rPr>
            </w:pPr>
            <w:r>
              <w:rPr>
                <w:rFonts w:ascii="Times New Roman" w:hAnsi="Times New Roman" w:cs="Times New Roman"/>
                <w:color w:val="auto"/>
              </w:rPr>
              <w:t>天然气泄漏及火灾应急处理措施：</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1 \* GB3 \* MERGEFORMAT </w:instrText>
            </w:r>
            <w:r>
              <w:rPr>
                <w:rFonts w:ascii="Times New Roman" w:hAnsi="Times New Roman" w:cs="Times New Roman"/>
                <w:color w:val="auto"/>
              </w:rPr>
              <w:fldChar w:fldCharType="separate"/>
            </w:r>
            <w:r>
              <w:rPr>
                <w:rFonts w:ascii="Times New Roman" w:hAnsi="Times New Roman" w:cs="Times New Roman"/>
                <w:color w:val="auto"/>
              </w:rPr>
              <w:t>①</w:t>
            </w:r>
            <w:r>
              <w:rPr>
                <w:rFonts w:ascii="Times New Roman" w:hAnsi="Times New Roman" w:cs="Times New Roman"/>
                <w:color w:val="auto"/>
              </w:rPr>
              <w:fldChar w:fldCharType="end"/>
            </w:r>
            <w:r>
              <w:rPr>
                <w:rFonts w:ascii="Times New Roman" w:hAnsi="Times New Roman" w:cs="Times New Roman"/>
                <w:color w:val="auto"/>
              </w:rPr>
              <w:t>泄漏应急处理：现场救援人员必须配备必要的个人防护器具；事故中心区应严禁火种、切断电源，立即在边界设置警戒线；及时关闭阀门、停止作业或局部停车，采用合适的材料和技术手段堵住泄漏处；向泄漏导致的有害蒸气云喷射雾状水或施放氮气，破坏燃烧条件。</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2 \* GB3 \* MERGEFORMAT </w:instrText>
            </w:r>
            <w:r>
              <w:rPr>
                <w:rFonts w:ascii="Times New Roman" w:hAnsi="Times New Roman" w:cs="Times New Roman"/>
                <w:color w:val="auto"/>
              </w:rPr>
              <w:fldChar w:fldCharType="separate"/>
            </w:r>
            <w:r>
              <w:rPr>
                <w:rFonts w:ascii="Times New Roman" w:hAnsi="Times New Roman" w:cs="Times New Roman"/>
                <w:color w:val="auto"/>
              </w:rPr>
              <w:t>②</w:t>
            </w:r>
            <w:r>
              <w:rPr>
                <w:rFonts w:ascii="Times New Roman" w:hAnsi="Times New Roman" w:cs="Times New Roman"/>
                <w:color w:val="auto"/>
              </w:rPr>
              <w:fldChar w:fldCharType="end"/>
            </w:r>
            <w:r>
              <w:rPr>
                <w:rFonts w:ascii="Times New Roman" w:hAnsi="Times New Roman" w:cs="Times New Roman"/>
                <w:color w:val="auto"/>
              </w:rPr>
              <w:t xml:space="preserve">火灾应急处理：一旦发生火灾爆炸事故，利用设置的火灾自动报警系统及电话向消防部门报警，同时采取设置的移动式消防器材及固定式消防设施进行灭火。火灾扑灭后，仍然要派人监护现场，消灭余火。起火单位应当保护现场，接收事故调查，未经相关部门同意，不得擅自清理火灾现场。 </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3 \* GB3 \* MERGEFORMAT </w:instrText>
            </w:r>
            <w:r>
              <w:rPr>
                <w:rFonts w:ascii="Times New Roman" w:hAnsi="Times New Roman" w:cs="Times New Roman"/>
                <w:color w:val="auto"/>
              </w:rPr>
              <w:fldChar w:fldCharType="separate"/>
            </w:r>
            <w:r>
              <w:rPr>
                <w:rFonts w:ascii="Times New Roman" w:hAnsi="Times New Roman" w:cs="Times New Roman"/>
                <w:color w:val="auto"/>
              </w:rPr>
              <w:t>③</w:t>
            </w:r>
            <w:r>
              <w:rPr>
                <w:rFonts w:ascii="Times New Roman" w:hAnsi="Times New Roman" w:cs="Times New Roman"/>
                <w:color w:val="auto"/>
              </w:rPr>
              <w:fldChar w:fldCharType="end"/>
            </w:r>
            <w:r>
              <w:rPr>
                <w:rFonts w:ascii="Times New Roman" w:hAnsi="Times New Roman" w:cs="Times New Roman"/>
                <w:color w:val="auto"/>
              </w:rPr>
              <w:t xml:space="preserve">防护措施：呼吸系统防护：应通风。如浓度高，使用呼吸防护用器。眼睛防护：配备安全护目镜。身体防护：穿戴专用防护服。手防护：配备隔冷手套。其它：避免高浓度吸入。 </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4 \* GB3 \* MERGEFORMAT </w:instrText>
            </w:r>
            <w:r>
              <w:rPr>
                <w:rFonts w:ascii="Times New Roman" w:hAnsi="Times New Roman" w:cs="Times New Roman"/>
                <w:color w:val="auto"/>
              </w:rPr>
              <w:fldChar w:fldCharType="separate"/>
            </w:r>
            <w:r>
              <w:rPr>
                <w:rFonts w:ascii="Times New Roman" w:hAnsi="Times New Roman" w:cs="Times New Roman"/>
                <w:color w:val="auto"/>
              </w:rPr>
              <w:t>④</w:t>
            </w:r>
            <w:r>
              <w:rPr>
                <w:rFonts w:ascii="Times New Roman" w:hAnsi="Times New Roman" w:cs="Times New Roman"/>
                <w:color w:val="auto"/>
              </w:rPr>
              <w:fldChar w:fldCharType="end"/>
            </w:r>
            <w:r>
              <w:rPr>
                <w:rFonts w:ascii="Times New Roman" w:hAnsi="Times New Roman" w:cs="Times New Roman"/>
                <w:color w:val="auto"/>
              </w:rPr>
              <w:t>急救措施：吸入：迅速脱离现场至空气新鲜处。保持呼吸道通畅。如呼吸停止，立即进行人工呼吸。就医。冻伤：应迅速复温，复温方法是采用40-42度恒热水浸泡，使其温度提高至接近正常，对冻伤部位进行轻柔按摩时，应注意不要将伤处皮肤擦破，以防感染；烧伤：应迅速将患者衣服脱去，用流动清水冲洗降温，用清洁布覆盖创伤面，避免伤面污染，不要任意把水炮弄破，同时使用特效药物治疗，对症治疗，严重者送医院观察治疗；灭火方法：用水保持容器冷却，以防受热爆炸，急剧助长火势。迅速切断气源，用水喷淋保护切断气源的人员，然后根据着火原因选择适当灭火剂灭火。</w:t>
            </w:r>
          </w:p>
          <w:p>
            <w:pPr>
              <w:ind w:firstLine="480" w:firstLineChars="200"/>
              <w:rPr>
                <w:rFonts w:ascii="Times New Roman" w:hAnsi="Times New Roman" w:cs="Times New Roman"/>
                <w:color w:val="auto"/>
              </w:rPr>
            </w:pPr>
            <w:r>
              <w:rPr>
                <w:rFonts w:ascii="Times New Roman" w:hAnsi="Times New Roman" w:cs="Times New Roman"/>
                <w:color w:val="auto"/>
              </w:rPr>
              <w:t>（</w:t>
            </w:r>
            <w:r>
              <w:rPr>
                <w:rFonts w:hint="eastAsia" w:ascii="Times New Roman" w:hAnsi="Times New Roman" w:cs="Times New Roman"/>
                <w:color w:val="auto"/>
              </w:rPr>
              <w:t>4</w:t>
            </w:r>
            <w:r>
              <w:rPr>
                <w:rFonts w:ascii="Times New Roman" w:hAnsi="Times New Roman" w:cs="Times New Roman"/>
                <w:color w:val="auto"/>
              </w:rPr>
              <w:t>）</w:t>
            </w:r>
            <w:r>
              <w:rPr>
                <w:rFonts w:hint="eastAsia" w:ascii="Times New Roman" w:hAnsi="Times New Roman" w:cs="Times New Roman"/>
                <w:color w:val="auto"/>
              </w:rPr>
              <w:t>应急</w:t>
            </w:r>
            <w:r>
              <w:rPr>
                <w:rFonts w:ascii="Times New Roman" w:hAnsi="Times New Roman" w:cs="Times New Roman"/>
                <w:color w:val="auto"/>
              </w:rPr>
              <w:t>预防对策及建议</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1 \* GB3 </w:instrText>
            </w:r>
            <w:r>
              <w:rPr>
                <w:rFonts w:ascii="Times New Roman" w:hAnsi="Times New Roman" w:cs="Times New Roman"/>
                <w:color w:val="auto"/>
              </w:rPr>
              <w:fldChar w:fldCharType="separate"/>
            </w:r>
            <w:r>
              <w:rPr>
                <w:rFonts w:ascii="Times New Roman" w:hAnsi="Times New Roman" w:cs="Times New Roman"/>
                <w:color w:val="auto"/>
              </w:rPr>
              <w:t>①</w:t>
            </w:r>
            <w:r>
              <w:rPr>
                <w:rFonts w:ascii="Times New Roman" w:hAnsi="Times New Roman" w:cs="Times New Roman"/>
                <w:color w:val="auto"/>
              </w:rPr>
              <w:fldChar w:fldCharType="end"/>
            </w:r>
            <w:r>
              <w:rPr>
                <w:rFonts w:ascii="Times New Roman" w:hAnsi="Times New Roman" w:cs="Times New Roman"/>
                <w:color w:val="auto"/>
              </w:rPr>
              <w:t>为预防火灾事故发生，应成立应急事故领导小组，健全安全操作规程。</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2 \* GB3 </w:instrText>
            </w:r>
            <w:r>
              <w:rPr>
                <w:rFonts w:ascii="Times New Roman" w:hAnsi="Times New Roman" w:cs="Times New Roman"/>
                <w:color w:val="auto"/>
              </w:rPr>
              <w:fldChar w:fldCharType="separate"/>
            </w:r>
            <w:r>
              <w:rPr>
                <w:rFonts w:ascii="Times New Roman" w:hAnsi="Times New Roman" w:cs="Times New Roman"/>
                <w:color w:val="auto"/>
              </w:rPr>
              <w:t>②</w:t>
            </w:r>
            <w:r>
              <w:rPr>
                <w:rFonts w:ascii="Times New Roman" w:hAnsi="Times New Roman" w:cs="Times New Roman"/>
                <w:color w:val="auto"/>
              </w:rPr>
              <w:fldChar w:fldCharType="end"/>
            </w:r>
            <w:r>
              <w:rPr>
                <w:rFonts w:ascii="Times New Roman" w:hAnsi="Times New Roman" w:cs="Times New Roman"/>
                <w:color w:val="auto"/>
              </w:rPr>
              <w:t>一旦发生事故，则要根据具体情况采取应急措施，切断火源，控制事故扩大；立即报警，向社会求援，组织人员开展灭火救援行动。</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3 \* GB3 </w:instrText>
            </w:r>
            <w:r>
              <w:rPr>
                <w:rFonts w:ascii="Times New Roman" w:hAnsi="Times New Roman" w:cs="Times New Roman"/>
                <w:color w:val="auto"/>
              </w:rPr>
              <w:fldChar w:fldCharType="separate"/>
            </w:r>
            <w:r>
              <w:rPr>
                <w:rFonts w:ascii="Times New Roman" w:hAnsi="Times New Roman" w:cs="Times New Roman"/>
                <w:color w:val="auto"/>
              </w:rPr>
              <w:t>③</w:t>
            </w:r>
            <w:r>
              <w:rPr>
                <w:rFonts w:ascii="Times New Roman" w:hAnsi="Times New Roman" w:cs="Times New Roman"/>
                <w:color w:val="auto"/>
              </w:rPr>
              <w:fldChar w:fldCharType="end"/>
            </w:r>
            <w:r>
              <w:rPr>
                <w:rFonts w:ascii="Times New Roman" w:hAnsi="Times New Roman" w:cs="Times New Roman"/>
                <w:color w:val="auto"/>
              </w:rPr>
              <w:t>定期组织员工培训，熟练掌握应急事故处理措施。</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4 \* GB3 </w:instrText>
            </w:r>
            <w:r>
              <w:rPr>
                <w:rFonts w:ascii="Times New Roman" w:hAnsi="Times New Roman" w:cs="Times New Roman"/>
                <w:color w:val="auto"/>
              </w:rPr>
              <w:fldChar w:fldCharType="separate"/>
            </w:r>
            <w:r>
              <w:rPr>
                <w:rFonts w:ascii="Times New Roman" w:hAnsi="Times New Roman" w:cs="Times New Roman"/>
                <w:color w:val="auto"/>
              </w:rPr>
              <w:t>④</w:t>
            </w:r>
            <w:r>
              <w:rPr>
                <w:rFonts w:ascii="Times New Roman" w:hAnsi="Times New Roman" w:cs="Times New Roman"/>
                <w:color w:val="auto"/>
              </w:rPr>
              <w:fldChar w:fldCharType="end"/>
            </w:r>
            <w:r>
              <w:rPr>
                <w:rFonts w:ascii="Times New Roman" w:hAnsi="Times New Roman" w:cs="Times New Roman"/>
                <w:color w:val="auto"/>
              </w:rPr>
              <w:t>做好防火措施，定期对消防器材进行检测与更换，确保其状态完好。</w:t>
            </w:r>
          </w:p>
          <w:p>
            <w:pPr>
              <w:ind w:firstLine="480" w:firstLineChars="200"/>
              <w:rPr>
                <w:rFonts w:ascii="Times New Roman" w:hAnsi="Times New Roman" w:cs="Times New Roman"/>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 5 \* GB3 </w:instrText>
            </w:r>
            <w:r>
              <w:rPr>
                <w:rFonts w:ascii="Times New Roman" w:hAnsi="Times New Roman" w:cs="Times New Roman"/>
                <w:color w:val="auto"/>
              </w:rPr>
              <w:fldChar w:fldCharType="separate"/>
            </w:r>
            <w:r>
              <w:rPr>
                <w:rFonts w:ascii="Times New Roman" w:hAnsi="Times New Roman" w:cs="Times New Roman"/>
                <w:color w:val="auto"/>
              </w:rPr>
              <w:t>⑤</w:t>
            </w:r>
            <w:r>
              <w:rPr>
                <w:rFonts w:ascii="Times New Roman" w:hAnsi="Times New Roman" w:cs="Times New Roman"/>
                <w:color w:val="auto"/>
              </w:rPr>
              <w:fldChar w:fldCharType="end"/>
            </w:r>
            <w:r>
              <w:rPr>
                <w:rFonts w:ascii="Times New Roman" w:hAnsi="Times New Roman" w:cs="Times New Roman"/>
                <w:color w:val="auto"/>
              </w:rPr>
              <w:t>加强环境管理，加强厂内环境建设，搞好绿化，推广清洁生产。</w:t>
            </w:r>
          </w:p>
          <w:p>
            <w:pPr>
              <w:numPr>
                <w:ilvl w:val="0"/>
                <w:numId w:val="9"/>
              </w:numPr>
              <w:ind w:firstLine="480" w:firstLineChars="200"/>
              <w:rPr>
                <w:rFonts w:ascii="Times New Roman" w:hAnsi="Times New Roman" w:cs="Times New Roman"/>
                <w:color w:val="auto"/>
              </w:rPr>
            </w:pPr>
            <w:r>
              <w:rPr>
                <w:rFonts w:ascii="Times New Roman" w:hAnsi="Times New Roman" w:cs="Times New Roman"/>
                <w:color w:val="auto"/>
              </w:rPr>
              <w:t>项目营运过程中不存在重大危险源，在严格落实风险防范措施的情况下，项目环境风险可以接受。</w:t>
            </w:r>
          </w:p>
          <w:p>
            <w:pPr>
              <w:spacing w:line="360" w:lineRule="auto"/>
              <w:jc w:val="center"/>
              <w:rPr>
                <w:rFonts w:ascii="Times New Roman" w:hAnsi="Times New Roman" w:cs="Times New Roman"/>
                <w:b/>
                <w:bCs/>
                <w:color w:val="auto"/>
                <w:szCs w:val="24"/>
              </w:rPr>
            </w:pPr>
            <w:r>
              <w:rPr>
                <w:rFonts w:hint="eastAsia" w:ascii="Times New Roman" w:hAnsi="Times New Roman" w:cs="Times New Roman"/>
                <w:b/>
                <w:bCs/>
                <w:color w:val="auto"/>
                <w:szCs w:val="24"/>
              </w:rPr>
              <w:t>表7-12  建设项目环境风险简单分析内容表</w:t>
            </w:r>
          </w:p>
          <w:tbl>
            <w:tblPr>
              <w:tblStyle w:val="17"/>
              <w:tblW w:w="4999"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507"/>
              <w:gridCol w:w="1507"/>
              <w:gridCol w:w="1511"/>
              <w:gridCol w:w="1511"/>
              <w:gridCol w:w="3032"/>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831" w:type="pct"/>
                  <w:tcBorders>
                    <w:bottom w:val="single" w:color="auto" w:sz="12" w:space="0"/>
                  </w:tcBorders>
                  <w:vAlign w:val="center"/>
                </w:tcPr>
                <w:p>
                  <w:pPr>
                    <w:tabs>
                      <w:tab w:val="left" w:pos="-15"/>
                    </w:tabs>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建设项目名称</w:t>
                  </w:r>
                </w:p>
              </w:tc>
              <w:tc>
                <w:tcPr>
                  <w:tcW w:w="4168" w:type="pct"/>
                  <w:gridSpan w:val="4"/>
                  <w:tcBorders>
                    <w:bottom w:val="single" w:color="auto" w:sz="12" w:space="0"/>
                  </w:tcBorders>
                  <w:vAlign w:val="center"/>
                </w:tcPr>
                <w:p>
                  <w:pPr>
                    <w:tabs>
                      <w:tab w:val="left" w:pos="-15"/>
                    </w:tabs>
                    <w:spacing w:line="240" w:lineRule="auto"/>
                    <w:jc w:val="center"/>
                    <w:rPr>
                      <w:rFonts w:ascii="Times New Roman" w:hAnsi="Times New Roman" w:cs="Times New Roman"/>
                      <w:bCs/>
                      <w:color w:val="auto"/>
                      <w:sz w:val="21"/>
                      <w:szCs w:val="21"/>
                    </w:rPr>
                  </w:pPr>
                  <w:r>
                    <w:rPr>
                      <w:rFonts w:hint="eastAsia" w:ascii="Times New Roman" w:hAnsi="Times New Roman" w:cs="Times New Roman"/>
                      <w:b/>
                      <w:color w:val="auto"/>
                      <w:sz w:val="21"/>
                      <w:szCs w:val="21"/>
                    </w:rPr>
                    <w:t>新增1台15t/h天然气锅炉项目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831" w:type="pct"/>
                  <w:tcBorders>
                    <w:top w:val="single" w:color="auto" w:sz="12" w:space="0"/>
                    <w:tl2br w:val="nil"/>
                    <w:tr2bl w:val="nil"/>
                  </w:tcBorders>
                  <w:vAlign w:val="center"/>
                </w:tcPr>
                <w:p>
                  <w:pPr>
                    <w:tabs>
                      <w:tab w:val="left" w:pos="-15"/>
                    </w:tabs>
                    <w:spacing w:line="240" w:lineRule="auto"/>
                    <w:jc w:val="center"/>
                    <w:rPr>
                      <w:rFonts w:ascii="Times New Roman" w:hAnsi="Times New Roman" w:cs="Times New Roman"/>
                      <w:bCs/>
                      <w:color w:val="auto"/>
                      <w:sz w:val="21"/>
                      <w:szCs w:val="21"/>
                    </w:rPr>
                  </w:pPr>
                  <w:r>
                    <w:rPr>
                      <w:rFonts w:ascii="Times New Roman" w:hAnsi="Times New Roman" w:cs="Times New Roman"/>
                      <w:bCs/>
                      <w:color w:val="auto"/>
                      <w:sz w:val="21"/>
                      <w:szCs w:val="21"/>
                    </w:rPr>
                    <w:t>建设地点</w:t>
                  </w:r>
                </w:p>
              </w:tc>
              <w:tc>
                <w:tcPr>
                  <w:tcW w:w="4168" w:type="pct"/>
                  <w:gridSpan w:val="4"/>
                  <w:tcBorders>
                    <w:top w:val="single" w:color="auto" w:sz="12" w:space="0"/>
                    <w:tl2br w:val="nil"/>
                    <w:tr2bl w:val="nil"/>
                  </w:tcBorders>
                  <w:vAlign w:val="center"/>
                </w:tcPr>
                <w:p>
                  <w:pPr>
                    <w:tabs>
                      <w:tab w:val="left" w:pos="-15"/>
                    </w:tabs>
                    <w:spacing w:line="240" w:lineRule="auto"/>
                    <w:jc w:val="center"/>
                    <w:rPr>
                      <w:rFonts w:ascii="Times New Roman" w:hAnsi="Times New Roman" w:cs="Times New Roman"/>
                      <w:bCs/>
                      <w:color w:val="auto"/>
                      <w:sz w:val="21"/>
                      <w:szCs w:val="21"/>
                    </w:rPr>
                  </w:pPr>
                  <w:r>
                    <w:rPr>
                      <w:rFonts w:hint="eastAsia" w:ascii="Times New Roman" w:hAnsi="Times New Roman" w:cs="Times New Roman"/>
                      <w:bCs/>
                      <w:color w:val="auto"/>
                      <w:sz w:val="21"/>
                      <w:szCs w:val="21"/>
                    </w:rPr>
                    <w:t>湖南省岳阳市经济技术开发区王家畈路以南、八字门路以东地块内</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831" w:type="pct"/>
                  <w:tcBorders>
                    <w:tl2br w:val="nil"/>
                    <w:tr2bl w:val="nil"/>
                  </w:tcBorders>
                  <w:vAlign w:val="center"/>
                </w:tcPr>
                <w:p>
                  <w:pPr>
                    <w:tabs>
                      <w:tab w:val="left" w:pos="-15"/>
                    </w:tabs>
                    <w:spacing w:line="240" w:lineRule="auto"/>
                    <w:jc w:val="center"/>
                    <w:rPr>
                      <w:rFonts w:ascii="Times New Roman" w:hAnsi="Times New Roman" w:cs="Times New Roman"/>
                      <w:bCs/>
                      <w:color w:val="auto"/>
                      <w:sz w:val="21"/>
                      <w:szCs w:val="21"/>
                    </w:rPr>
                  </w:pPr>
                  <w:r>
                    <w:rPr>
                      <w:rFonts w:ascii="Times New Roman" w:hAnsi="Times New Roman" w:cs="Times New Roman"/>
                      <w:bCs/>
                      <w:color w:val="auto"/>
                      <w:sz w:val="21"/>
                      <w:szCs w:val="21"/>
                    </w:rPr>
                    <w:t>地理坐标</w:t>
                  </w:r>
                </w:p>
              </w:tc>
              <w:tc>
                <w:tcPr>
                  <w:tcW w:w="831" w:type="pct"/>
                  <w:tcBorders>
                    <w:tl2br w:val="nil"/>
                    <w:tr2bl w:val="nil"/>
                  </w:tcBorders>
                  <w:vAlign w:val="center"/>
                </w:tcPr>
                <w:p>
                  <w:pPr>
                    <w:tabs>
                      <w:tab w:val="left" w:pos="-15"/>
                    </w:tabs>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经度</w:t>
                  </w:r>
                </w:p>
              </w:tc>
              <w:tc>
                <w:tcPr>
                  <w:tcW w:w="833" w:type="pct"/>
                  <w:tcBorders>
                    <w:tl2br w:val="nil"/>
                    <w:tr2bl w:val="nil"/>
                  </w:tcBorders>
                  <w:vAlign w:val="center"/>
                </w:tcPr>
                <w:p>
                  <w:pPr>
                    <w:tabs>
                      <w:tab w:val="left" w:pos="-15"/>
                    </w:tabs>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113 ° 9 ' 22.97̋</w:t>
                  </w:r>
                </w:p>
              </w:tc>
              <w:tc>
                <w:tcPr>
                  <w:tcW w:w="833" w:type="pct"/>
                  <w:tcBorders>
                    <w:tl2br w:val="nil"/>
                    <w:tr2bl w:val="nil"/>
                  </w:tcBorders>
                  <w:vAlign w:val="center"/>
                </w:tcPr>
                <w:p>
                  <w:pPr>
                    <w:tabs>
                      <w:tab w:val="left" w:pos="-15"/>
                    </w:tabs>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纬度</w:t>
                  </w:r>
                </w:p>
              </w:tc>
              <w:tc>
                <w:tcPr>
                  <w:tcW w:w="1670" w:type="pct"/>
                  <w:tcBorders>
                    <w:tl2br w:val="nil"/>
                    <w:tr2bl w:val="nil"/>
                  </w:tcBorders>
                  <w:vAlign w:val="center"/>
                </w:tcPr>
                <w:p>
                  <w:pPr>
                    <w:tabs>
                      <w:tab w:val="left" w:pos="-15"/>
                    </w:tabs>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29° 22 '45.97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831" w:type="pct"/>
                  <w:tcBorders>
                    <w:tl2br w:val="nil"/>
                    <w:tr2bl w:val="nil"/>
                  </w:tcBorders>
                  <w:vAlign w:val="center"/>
                </w:tcPr>
                <w:p>
                  <w:pPr>
                    <w:tabs>
                      <w:tab w:val="left" w:pos="-15"/>
                    </w:tabs>
                    <w:spacing w:line="240" w:lineRule="auto"/>
                    <w:jc w:val="center"/>
                    <w:rPr>
                      <w:rFonts w:ascii="Times New Roman" w:hAnsi="Times New Roman" w:cs="Times New Roman"/>
                      <w:bCs/>
                      <w:color w:val="auto"/>
                      <w:sz w:val="21"/>
                      <w:szCs w:val="21"/>
                    </w:rPr>
                  </w:pPr>
                  <w:r>
                    <w:rPr>
                      <w:rFonts w:ascii="Times New Roman" w:hAnsi="Times New Roman" w:cs="Times New Roman"/>
                      <w:bCs/>
                      <w:color w:val="auto"/>
                      <w:sz w:val="21"/>
                      <w:szCs w:val="21"/>
                    </w:rPr>
                    <w:t>主要危险物质及分布</w:t>
                  </w:r>
                </w:p>
              </w:tc>
              <w:tc>
                <w:tcPr>
                  <w:tcW w:w="4168" w:type="pct"/>
                  <w:gridSpan w:val="4"/>
                  <w:tcBorders>
                    <w:tl2br w:val="nil"/>
                    <w:tr2bl w:val="nil"/>
                  </w:tcBorders>
                  <w:vAlign w:val="center"/>
                </w:tcPr>
                <w:p>
                  <w:pPr>
                    <w:tabs>
                      <w:tab w:val="left" w:pos="-15"/>
                    </w:tabs>
                    <w:spacing w:line="240" w:lineRule="auto"/>
                    <w:jc w:val="center"/>
                    <w:rPr>
                      <w:rFonts w:ascii="Times New Roman" w:hAnsi="Times New Roman" w:cs="Times New Roman"/>
                      <w:bCs/>
                      <w:color w:val="auto"/>
                      <w:sz w:val="21"/>
                      <w:szCs w:val="21"/>
                    </w:rPr>
                  </w:pPr>
                  <w:r>
                    <w:rPr>
                      <w:rFonts w:hint="eastAsia" w:ascii="Times New Roman" w:hAnsi="Times New Roman" w:cs="Times New Roman"/>
                      <w:color w:val="auto"/>
                      <w:sz w:val="21"/>
                      <w:szCs w:val="21"/>
                    </w:rPr>
                    <w:t>天然气，天然气管道</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831" w:type="pct"/>
                  <w:tcBorders>
                    <w:tl2br w:val="nil"/>
                    <w:tr2bl w:val="nil"/>
                  </w:tcBorders>
                  <w:vAlign w:val="center"/>
                </w:tcPr>
                <w:p>
                  <w:pPr>
                    <w:tabs>
                      <w:tab w:val="left" w:pos="-15"/>
                    </w:tabs>
                    <w:spacing w:line="240" w:lineRule="auto"/>
                    <w:jc w:val="center"/>
                    <w:rPr>
                      <w:rFonts w:ascii="Times New Roman" w:hAnsi="Times New Roman" w:cs="Times New Roman"/>
                      <w:bCs/>
                      <w:color w:val="auto"/>
                      <w:sz w:val="21"/>
                      <w:szCs w:val="21"/>
                    </w:rPr>
                  </w:pPr>
                  <w:r>
                    <w:rPr>
                      <w:rFonts w:ascii="Times New Roman" w:hAnsi="Times New Roman" w:cs="Times New Roman"/>
                      <w:bCs/>
                      <w:color w:val="auto"/>
                      <w:sz w:val="21"/>
                      <w:szCs w:val="21"/>
                    </w:rPr>
                    <w:t>环境影响途径及危害后果</w:t>
                  </w:r>
                </w:p>
              </w:tc>
              <w:tc>
                <w:tcPr>
                  <w:tcW w:w="4168" w:type="pct"/>
                  <w:gridSpan w:val="4"/>
                  <w:tcBorders>
                    <w:tl2br w:val="nil"/>
                    <w:tr2bl w:val="nil"/>
                  </w:tcBorders>
                  <w:vAlign w:val="center"/>
                </w:tcPr>
                <w:p>
                  <w:pPr>
                    <w:tabs>
                      <w:tab w:val="left" w:pos="-15"/>
                    </w:tabs>
                    <w:spacing w:line="240" w:lineRule="auto"/>
                    <w:jc w:val="left"/>
                    <w:rPr>
                      <w:rFonts w:ascii="Times New Roman" w:hAnsi="Times New Roman" w:cs="Times New Roman"/>
                      <w:bCs/>
                      <w:color w:val="auto"/>
                      <w:sz w:val="21"/>
                      <w:szCs w:val="21"/>
                    </w:rPr>
                  </w:pPr>
                  <w:r>
                    <w:rPr>
                      <w:rFonts w:hint="eastAsia" w:ascii="Times New Roman" w:hAnsi="Times New Roman" w:cs="Times New Roman"/>
                      <w:bCs/>
                      <w:color w:val="auto"/>
                      <w:sz w:val="21"/>
                      <w:szCs w:val="21"/>
                    </w:rPr>
                    <w:t>爆炸、火灾等引起的大气环境次生污染事件，对周边大气环境居民安全有一定的危害</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831" w:type="pct"/>
                  <w:tcBorders>
                    <w:tl2br w:val="nil"/>
                    <w:tr2bl w:val="nil"/>
                  </w:tcBorders>
                  <w:vAlign w:val="center"/>
                </w:tcPr>
                <w:p>
                  <w:pPr>
                    <w:tabs>
                      <w:tab w:val="left" w:pos="-15"/>
                    </w:tabs>
                    <w:spacing w:line="240" w:lineRule="auto"/>
                    <w:jc w:val="center"/>
                    <w:rPr>
                      <w:rFonts w:ascii="Times New Roman" w:hAnsi="Times New Roman" w:cs="Times New Roman"/>
                      <w:bCs/>
                      <w:color w:val="auto"/>
                      <w:sz w:val="21"/>
                      <w:szCs w:val="21"/>
                    </w:rPr>
                  </w:pPr>
                  <w:r>
                    <w:rPr>
                      <w:rFonts w:ascii="Times New Roman" w:hAnsi="Times New Roman" w:cs="Times New Roman"/>
                      <w:bCs/>
                      <w:color w:val="auto"/>
                      <w:sz w:val="21"/>
                      <w:szCs w:val="21"/>
                    </w:rPr>
                    <w:t>风险防范措施要求</w:t>
                  </w:r>
                </w:p>
              </w:tc>
              <w:tc>
                <w:tcPr>
                  <w:tcW w:w="4168" w:type="pct"/>
                  <w:gridSpan w:val="4"/>
                  <w:tcBorders>
                    <w:tl2br w:val="nil"/>
                    <w:tr2bl w:val="nil"/>
                  </w:tcBorders>
                  <w:vAlign w:val="center"/>
                </w:tcPr>
                <w:p>
                  <w:pPr>
                    <w:widowControl/>
                    <w:spacing w:line="240" w:lineRule="auto"/>
                    <w:jc w:val="left"/>
                    <w:rPr>
                      <w:rFonts w:ascii="Times New Roman" w:hAnsi="Times New Roman" w:cs="Times New Roman"/>
                      <w:bCs/>
                      <w:color w:val="auto"/>
                      <w:sz w:val="21"/>
                      <w:szCs w:val="21"/>
                    </w:rPr>
                  </w:pPr>
                  <w:r>
                    <w:rPr>
                      <w:rFonts w:ascii="Times New Roman" w:hAnsi="Times New Roman" w:cs="Times New Roman"/>
                      <w:bCs/>
                      <w:color w:val="auto"/>
                      <w:sz w:val="21"/>
                      <w:szCs w:val="21"/>
                    </w:rPr>
                    <w:t>加强应急物资供应</w:t>
                  </w:r>
                  <w:r>
                    <w:rPr>
                      <w:rFonts w:hint="eastAsia" w:ascii="Times New Roman" w:hAnsi="Times New Roman" w:cs="Times New Roman"/>
                      <w:bCs/>
                      <w:color w:val="auto"/>
                      <w:sz w:val="21"/>
                      <w:szCs w:val="21"/>
                    </w:rPr>
                    <w:t>；</w:t>
                  </w:r>
                  <w:r>
                    <w:rPr>
                      <w:rFonts w:ascii="Times New Roman" w:hAnsi="Times New Roman" w:cs="Times New Roman"/>
                      <w:bCs/>
                      <w:color w:val="auto"/>
                      <w:sz w:val="21"/>
                      <w:szCs w:val="21"/>
                    </w:rPr>
                    <w:t>加强本企业的环保技术培训，提高本企业全体员工的环境意识和综合素质。</w:t>
                  </w:r>
                </w:p>
                <w:p>
                  <w:pPr>
                    <w:widowControl/>
                    <w:spacing w:line="240" w:lineRule="auto"/>
                    <w:jc w:val="left"/>
                    <w:rPr>
                      <w:rFonts w:ascii="Times New Roman" w:hAnsi="Times New Roman" w:cs="Times New Roman"/>
                      <w:bCs/>
                      <w:color w:val="auto"/>
                      <w:sz w:val="21"/>
                      <w:szCs w:val="21"/>
                    </w:rPr>
                  </w:pPr>
                  <w:r>
                    <w:rPr>
                      <w:rFonts w:ascii="Times New Roman" w:hAnsi="Times New Roman" w:cs="Times New Roman"/>
                      <w:bCs/>
                      <w:color w:val="auto"/>
                      <w:sz w:val="21"/>
                      <w:szCs w:val="21"/>
                    </w:rPr>
                    <w:t>定期对生产设备进行检修维护，</w:t>
                  </w:r>
                  <w:r>
                    <w:rPr>
                      <w:rFonts w:hint="eastAsia" w:ascii="Times New Roman" w:hAnsi="Times New Roman" w:cs="Times New Roman"/>
                      <w:bCs/>
                      <w:color w:val="auto"/>
                      <w:sz w:val="21"/>
                      <w:szCs w:val="21"/>
                    </w:rPr>
                    <w:t>对厂区地面进行硬化处理。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000" w:type="pct"/>
                  <w:gridSpan w:val="5"/>
                  <w:tcBorders>
                    <w:tl2br w:val="nil"/>
                    <w:tr2bl w:val="nil"/>
                  </w:tcBorders>
                  <w:vAlign w:val="center"/>
                </w:tcPr>
                <w:p>
                  <w:pPr>
                    <w:tabs>
                      <w:tab w:val="left" w:pos="-15"/>
                    </w:tabs>
                    <w:spacing w:line="240" w:lineRule="auto"/>
                    <w:jc w:val="left"/>
                    <w:rPr>
                      <w:rFonts w:ascii="Times New Roman" w:hAnsi="Times New Roman" w:cs="Times New Roman"/>
                      <w:bCs/>
                      <w:color w:val="auto"/>
                      <w:sz w:val="21"/>
                      <w:szCs w:val="21"/>
                    </w:rPr>
                  </w:pPr>
                  <w:r>
                    <w:rPr>
                      <w:rFonts w:ascii="Times New Roman" w:hAnsi="Times New Roman" w:cs="Times New Roman"/>
                      <w:bCs/>
                      <w:color w:val="auto"/>
                      <w:sz w:val="21"/>
                      <w:szCs w:val="21"/>
                    </w:rPr>
                    <w:t>填表说明（列出项目相关信息及评价说明）</w:t>
                  </w:r>
                </w:p>
                <w:p>
                  <w:pPr>
                    <w:tabs>
                      <w:tab w:val="left" w:pos="-15"/>
                    </w:tabs>
                    <w:spacing w:line="240" w:lineRule="auto"/>
                    <w:jc w:val="left"/>
                    <w:rPr>
                      <w:rFonts w:ascii="Times New Roman" w:hAnsi="Times New Roman" w:cs="Times New Roman"/>
                      <w:bCs/>
                      <w:color w:val="auto"/>
                      <w:kern w:val="0"/>
                      <w:sz w:val="21"/>
                      <w:szCs w:val="21"/>
                    </w:rPr>
                  </w:pPr>
                  <w:r>
                    <w:rPr>
                      <w:rFonts w:ascii="Times New Roman" w:hAnsi="Times New Roman" w:cs="Times New Roman"/>
                      <w:bCs/>
                      <w:color w:val="auto"/>
                      <w:kern w:val="0"/>
                      <w:sz w:val="21"/>
                      <w:szCs w:val="21"/>
                    </w:rPr>
                    <w:t>根据《建设项目环境风险评价技术导则》（HJ169-2018）附录B，本项目无危险化学品</w:t>
                  </w:r>
                  <w:r>
                    <w:rPr>
                      <w:rFonts w:ascii="Times New Roman" w:hAnsi="Times New Roman" w:cs="Times New Roman"/>
                      <w:color w:val="auto"/>
                      <w:sz w:val="21"/>
                      <w:szCs w:val="21"/>
                    </w:rPr>
                    <w:t>。</w:t>
                  </w:r>
                  <w:r>
                    <w:rPr>
                      <w:rFonts w:ascii="Times New Roman" w:hAnsi="Times New Roman" w:cs="Times New Roman"/>
                      <w:bCs/>
                      <w:color w:val="auto"/>
                      <w:kern w:val="0"/>
                      <w:sz w:val="21"/>
                      <w:szCs w:val="21"/>
                    </w:rPr>
                    <w:t>故本项目Q=0＜1，可直接判定本项目环境风险潜势为Ⅰ。</w:t>
                  </w:r>
                </w:p>
                <w:p>
                  <w:pPr>
                    <w:tabs>
                      <w:tab w:val="left" w:pos="-15"/>
                    </w:tabs>
                    <w:spacing w:line="240" w:lineRule="auto"/>
                    <w:jc w:val="left"/>
                    <w:rPr>
                      <w:rFonts w:ascii="Times New Roman" w:hAnsi="Times New Roman" w:cs="Times New Roman"/>
                      <w:bCs/>
                      <w:color w:val="auto"/>
                      <w:sz w:val="21"/>
                      <w:szCs w:val="21"/>
                    </w:rPr>
                  </w:pPr>
                  <w:r>
                    <w:rPr>
                      <w:rFonts w:ascii="Times New Roman" w:hAnsi="Times New Roman" w:cs="Times New Roman"/>
                      <w:bCs/>
                      <w:color w:val="auto"/>
                      <w:kern w:val="0"/>
                      <w:sz w:val="21"/>
                      <w:szCs w:val="21"/>
                    </w:rPr>
                    <w:t>确定</w:t>
                  </w:r>
                  <w:r>
                    <w:rPr>
                      <w:rFonts w:ascii="Times New Roman" w:hAnsi="Times New Roman" w:cs="Times New Roman"/>
                      <w:color w:val="auto"/>
                      <w:spacing w:val="-6"/>
                      <w:sz w:val="21"/>
                      <w:szCs w:val="21"/>
                    </w:rPr>
                    <w:t>评价</w:t>
                  </w:r>
                  <w:r>
                    <w:rPr>
                      <w:rFonts w:ascii="Times New Roman" w:hAnsi="Times New Roman" w:cs="Times New Roman"/>
                      <w:bCs/>
                      <w:color w:val="auto"/>
                      <w:kern w:val="0"/>
                      <w:sz w:val="21"/>
                      <w:szCs w:val="21"/>
                    </w:rPr>
                    <w:t>工作等级为简单分析。</w:t>
                  </w:r>
                </w:p>
              </w:tc>
            </w:tr>
          </w:tbl>
          <w:p>
            <w:pPr>
              <w:pStyle w:val="6"/>
              <w:ind w:firstLine="482"/>
              <w:outlineLvl w:val="2"/>
              <w:rPr>
                <w:color w:val="auto"/>
              </w:rPr>
            </w:pPr>
            <w:r>
              <w:rPr>
                <w:rFonts w:hint="eastAsia"/>
                <w:color w:val="auto"/>
              </w:rPr>
              <w:t>2.6总量控制指标分析</w:t>
            </w:r>
          </w:p>
          <w:p>
            <w:pPr>
              <w:spacing w:line="360" w:lineRule="auto"/>
              <w:ind w:firstLine="482"/>
              <w:rPr>
                <w:rFonts w:ascii="Times New Roman" w:hAnsi="Times New Roman" w:cs="Times New Roman"/>
                <w:color w:val="auto"/>
              </w:rPr>
            </w:pPr>
            <w:r>
              <w:rPr>
                <w:rFonts w:ascii="Times New Roman" w:hAnsi="Times New Roman" w:cs="Times New Roman"/>
                <w:color w:val="auto"/>
              </w:rPr>
              <w:t>为了适应我国改革开放和经济建设快速发展的需要，做到经济发展和环境保护协调并进，单靠控制污染物排放浓度的措施，不能有效遏制环境质量的恶化趋势。对污染源的控制，不仅要求污染物排放浓度达标，还必须控制污染物的排放总量。按照《国务院关于印发</w:t>
            </w:r>
            <w:r>
              <w:rPr>
                <w:rFonts w:hint="eastAsia" w:ascii="Times New Roman" w:hAnsi="Times New Roman" w:cs="Times New Roman"/>
                <w:color w:val="auto"/>
              </w:rPr>
              <w:t>“</w:t>
            </w:r>
            <w:r>
              <w:rPr>
                <w:rFonts w:ascii="Times New Roman" w:hAnsi="Times New Roman" w:cs="Times New Roman"/>
                <w:color w:val="auto"/>
              </w:rPr>
              <w:t>十</w:t>
            </w:r>
            <w:r>
              <w:rPr>
                <w:rFonts w:hint="eastAsia" w:ascii="Times New Roman" w:hAnsi="Times New Roman" w:cs="Times New Roman"/>
                <w:color w:val="auto"/>
              </w:rPr>
              <w:t>三</w:t>
            </w:r>
            <w:r>
              <w:rPr>
                <w:rFonts w:ascii="Times New Roman" w:hAnsi="Times New Roman" w:cs="Times New Roman"/>
                <w:color w:val="auto"/>
              </w:rPr>
              <w:t>五</w:t>
            </w:r>
            <w:r>
              <w:rPr>
                <w:rFonts w:hint="eastAsia" w:ascii="Times New Roman" w:hAnsi="Times New Roman" w:cs="Times New Roman"/>
                <w:color w:val="auto"/>
              </w:rPr>
              <w:t>”</w:t>
            </w:r>
            <w:r>
              <w:rPr>
                <w:rFonts w:ascii="Times New Roman" w:hAnsi="Times New Roman" w:cs="Times New Roman"/>
                <w:color w:val="auto"/>
              </w:rPr>
              <w:t>节能减排综合性工作方案的通知》（国发〔201</w:t>
            </w:r>
            <w:r>
              <w:rPr>
                <w:rFonts w:hint="eastAsia" w:ascii="Times New Roman" w:hAnsi="Times New Roman" w:cs="Times New Roman"/>
                <w:color w:val="auto"/>
              </w:rPr>
              <w:t>6</w:t>
            </w:r>
            <w:r>
              <w:rPr>
                <w:rFonts w:ascii="Times New Roman" w:hAnsi="Times New Roman" w:cs="Times New Roman"/>
                <w:color w:val="auto"/>
              </w:rPr>
              <w:t>〕</w:t>
            </w:r>
            <w:r>
              <w:rPr>
                <w:rFonts w:hint="eastAsia" w:ascii="Times New Roman" w:hAnsi="Times New Roman" w:cs="Times New Roman"/>
                <w:color w:val="auto"/>
              </w:rPr>
              <w:t>74</w:t>
            </w:r>
            <w:r>
              <w:rPr>
                <w:rFonts w:ascii="Times New Roman" w:hAnsi="Times New Roman" w:cs="Times New Roman"/>
                <w:color w:val="auto"/>
              </w:rPr>
              <w:t>号）</w:t>
            </w:r>
            <w:r>
              <w:rPr>
                <w:rFonts w:hint="eastAsia" w:ascii="Times New Roman" w:hAnsi="Times New Roman" w:cs="Times New Roman"/>
                <w:color w:val="auto"/>
              </w:rPr>
              <w:t>和</w:t>
            </w:r>
            <w:r>
              <w:rPr>
                <w:rFonts w:ascii="Times New Roman" w:hAnsi="Times New Roman" w:cs="Times New Roman"/>
                <w:color w:val="auto"/>
              </w:rPr>
              <w:t>《国家环境保护</w:t>
            </w:r>
            <w:r>
              <w:rPr>
                <w:rFonts w:hint="eastAsia" w:ascii="Times New Roman" w:hAnsi="Times New Roman" w:cs="Times New Roman"/>
                <w:color w:val="auto"/>
              </w:rPr>
              <w:t>“</w:t>
            </w:r>
            <w:r>
              <w:rPr>
                <w:rFonts w:ascii="Times New Roman" w:hAnsi="Times New Roman" w:cs="Times New Roman"/>
                <w:color w:val="auto"/>
              </w:rPr>
              <w:t>十三五</w:t>
            </w:r>
            <w:r>
              <w:rPr>
                <w:rFonts w:hint="eastAsia" w:ascii="Times New Roman" w:hAnsi="Times New Roman" w:cs="Times New Roman"/>
                <w:color w:val="auto"/>
              </w:rPr>
              <w:t>”</w:t>
            </w:r>
            <w:r>
              <w:rPr>
                <w:rFonts w:ascii="Times New Roman" w:hAnsi="Times New Roman" w:cs="Times New Roman"/>
                <w:color w:val="auto"/>
              </w:rPr>
              <w:t>规划基本思路》以及本项目污染物排放特点</w:t>
            </w:r>
            <w:r>
              <w:rPr>
                <w:rFonts w:hint="eastAsia" w:ascii="Times New Roman" w:hAnsi="Times New Roman" w:cs="Times New Roman"/>
                <w:color w:val="auto"/>
              </w:rPr>
              <w:t>。</w:t>
            </w:r>
          </w:p>
          <w:p>
            <w:pPr>
              <w:spacing w:line="360" w:lineRule="auto"/>
              <w:ind w:firstLine="482"/>
              <w:rPr>
                <w:rFonts w:ascii="Times New Roman" w:hAnsi="Times New Roman" w:cs="Times New Roman"/>
                <w:color w:val="auto"/>
              </w:rPr>
            </w:pPr>
            <w:r>
              <w:rPr>
                <w:rFonts w:ascii="Times New Roman" w:hAnsi="Times New Roman" w:cs="Times New Roman"/>
                <w:color w:val="auto"/>
              </w:rPr>
              <w:t>本项目产生的废气污染物主要为颗粒物、</w:t>
            </w:r>
            <w:r>
              <w:rPr>
                <w:rFonts w:hint="eastAsia" w:ascii="Times New Roman" w:hAnsi="Times New Roman" w:cs="Times New Roman"/>
                <w:color w:val="auto"/>
              </w:rPr>
              <w:t>二氧化硫</w:t>
            </w:r>
            <w:r>
              <w:rPr>
                <w:rFonts w:ascii="Times New Roman" w:hAnsi="Times New Roman" w:cs="Times New Roman"/>
                <w:color w:val="auto"/>
              </w:rPr>
              <w:t>、</w:t>
            </w:r>
            <w:r>
              <w:rPr>
                <w:rFonts w:hint="eastAsia" w:ascii="Times New Roman" w:hAnsi="Times New Roman" w:cs="Times New Roman"/>
                <w:color w:val="auto"/>
              </w:rPr>
              <w:t>氮氧化物</w:t>
            </w:r>
            <w:r>
              <w:rPr>
                <w:rFonts w:ascii="Times New Roman" w:hAnsi="Times New Roman" w:cs="Times New Roman"/>
                <w:color w:val="auto"/>
              </w:rPr>
              <w:t>。颗粒物不在国家总量控制指标范围内，故建议本项目废气总量控制</w:t>
            </w:r>
            <w:r>
              <w:rPr>
                <w:rFonts w:hint="eastAsia" w:ascii="Times New Roman" w:hAnsi="Times New Roman" w:cs="Times New Roman"/>
                <w:color w:val="auto"/>
              </w:rPr>
              <w:t>建议</w:t>
            </w:r>
            <w:r>
              <w:rPr>
                <w:rFonts w:ascii="Times New Roman" w:hAnsi="Times New Roman" w:cs="Times New Roman"/>
                <w:color w:val="auto"/>
              </w:rPr>
              <w:t>指标为</w:t>
            </w:r>
            <w:r>
              <w:rPr>
                <w:rFonts w:hint="eastAsia" w:ascii="Times New Roman" w:hAnsi="Times New Roman" w:cs="Times New Roman"/>
                <w:color w:val="auto"/>
              </w:rPr>
              <w:t>SO</w:t>
            </w:r>
            <w:r>
              <w:rPr>
                <w:rFonts w:hint="eastAsia" w:ascii="Times New Roman" w:hAnsi="Times New Roman" w:cs="Times New Roman"/>
                <w:color w:val="auto"/>
                <w:vertAlign w:val="subscript"/>
              </w:rPr>
              <w:t>2</w:t>
            </w:r>
            <w:r>
              <w:rPr>
                <w:rFonts w:ascii="Times New Roman" w:hAnsi="Times New Roman" w:cs="Times New Roman"/>
                <w:color w:val="auto"/>
              </w:rPr>
              <w:t>：</w:t>
            </w:r>
            <w:r>
              <w:rPr>
                <w:rFonts w:hint="eastAsia" w:ascii="Times New Roman" w:hAnsi="Times New Roman" w:cs="Times New Roman"/>
                <w:color w:val="auto"/>
              </w:rPr>
              <w:t>0.</w:t>
            </w:r>
            <w:r>
              <w:rPr>
                <w:rFonts w:hint="eastAsia" w:ascii="Times New Roman" w:hAnsi="Times New Roman" w:cs="Times New Roman"/>
                <w:color w:val="auto"/>
                <w:lang w:val="en-US" w:eastAsia="zh-CN"/>
              </w:rPr>
              <w:t>599</w:t>
            </w:r>
            <w:r>
              <w:rPr>
                <w:rFonts w:ascii="Times New Roman" w:hAnsi="Times New Roman" w:cs="Times New Roman"/>
                <w:color w:val="auto"/>
              </w:rPr>
              <w:t>t/a</w:t>
            </w:r>
            <w:r>
              <w:rPr>
                <w:rFonts w:hint="eastAsia" w:ascii="Times New Roman" w:hAnsi="Times New Roman" w:cs="Times New Roman"/>
                <w:color w:val="auto"/>
              </w:rPr>
              <w:t>、NO</w:t>
            </w:r>
            <w:r>
              <w:rPr>
                <w:rFonts w:hint="eastAsia" w:ascii="Times New Roman" w:hAnsi="Times New Roman" w:cs="Times New Roman"/>
                <w:color w:val="auto"/>
                <w:vertAlign w:val="subscript"/>
              </w:rPr>
              <w:t>X</w:t>
            </w:r>
            <w:r>
              <w:rPr>
                <w:rFonts w:hint="eastAsia" w:ascii="Times New Roman" w:hAnsi="Times New Roman" w:cs="Times New Roman"/>
                <w:color w:val="auto"/>
              </w:rPr>
              <w:t>：0.531t/a；</w:t>
            </w:r>
            <w:r>
              <w:rPr>
                <w:rFonts w:ascii="Times New Roman" w:hAnsi="Times New Roman" w:cs="Times New Roman"/>
                <w:color w:val="auto"/>
              </w:rPr>
              <w:t>本项目产生的废</w:t>
            </w:r>
            <w:r>
              <w:rPr>
                <w:rFonts w:hint="eastAsia" w:ascii="Times New Roman" w:hAnsi="Times New Roman" w:cs="Times New Roman"/>
                <w:color w:val="auto"/>
              </w:rPr>
              <w:t>水</w:t>
            </w:r>
            <w:r>
              <w:rPr>
                <w:rFonts w:ascii="Times New Roman" w:hAnsi="Times New Roman" w:cs="Times New Roman"/>
                <w:color w:val="auto"/>
              </w:rPr>
              <w:t>污染物主要为</w:t>
            </w:r>
            <w:r>
              <w:rPr>
                <w:rFonts w:hint="eastAsia" w:ascii="Times New Roman" w:hAnsi="Times New Roman" w:cs="Times New Roman"/>
                <w:color w:val="auto"/>
              </w:rPr>
              <w:t>CODcr</w:t>
            </w:r>
            <w:r>
              <w:rPr>
                <w:rFonts w:ascii="Times New Roman" w:hAnsi="Times New Roman" w:cs="Times New Roman"/>
                <w:color w:val="auto"/>
              </w:rPr>
              <w:t>、</w:t>
            </w:r>
            <w:r>
              <w:rPr>
                <w:rFonts w:hint="eastAsia" w:ascii="Times New Roman" w:hAnsi="Times New Roman" w:cs="Times New Roman"/>
                <w:color w:val="auto"/>
              </w:rPr>
              <w:t>NH</w:t>
            </w:r>
            <w:r>
              <w:rPr>
                <w:rFonts w:hint="eastAsia" w:ascii="Times New Roman" w:hAnsi="Times New Roman" w:cs="Times New Roman"/>
                <w:color w:val="auto"/>
                <w:vertAlign w:val="subscript"/>
              </w:rPr>
              <w:t>3</w:t>
            </w:r>
            <w:r>
              <w:rPr>
                <w:rFonts w:hint="eastAsia" w:ascii="Times New Roman" w:hAnsi="Times New Roman" w:cs="Times New Roman"/>
                <w:color w:val="auto"/>
              </w:rPr>
              <w:t>-N</w:t>
            </w:r>
            <w:r>
              <w:rPr>
                <w:rFonts w:ascii="Times New Roman" w:hAnsi="Times New Roman" w:cs="Times New Roman"/>
                <w:color w:val="auto"/>
              </w:rPr>
              <w:t>、</w:t>
            </w:r>
            <w:r>
              <w:rPr>
                <w:rFonts w:hint="eastAsia" w:ascii="Times New Roman" w:hAnsi="Times New Roman" w:cs="Times New Roman"/>
                <w:color w:val="auto"/>
              </w:rPr>
              <w:t>SS</w:t>
            </w:r>
            <w:r>
              <w:rPr>
                <w:rFonts w:ascii="Times New Roman" w:hAnsi="Times New Roman" w:cs="Times New Roman"/>
                <w:color w:val="auto"/>
              </w:rPr>
              <w:t>。</w:t>
            </w:r>
            <w:r>
              <w:rPr>
                <w:rFonts w:hint="eastAsia" w:ascii="Times New Roman" w:hAnsi="Times New Roman" w:cs="Times New Roman"/>
                <w:color w:val="auto"/>
              </w:rPr>
              <w:t>SS</w:t>
            </w:r>
            <w:r>
              <w:rPr>
                <w:rFonts w:ascii="Times New Roman" w:hAnsi="Times New Roman" w:cs="Times New Roman"/>
                <w:color w:val="auto"/>
              </w:rPr>
              <w:t>不在国家总量控制指标范围内，故建议本项目废</w:t>
            </w:r>
            <w:r>
              <w:rPr>
                <w:rFonts w:hint="eastAsia" w:ascii="Times New Roman" w:hAnsi="Times New Roman" w:cs="Times New Roman"/>
                <w:color w:val="auto"/>
              </w:rPr>
              <w:t>水</w:t>
            </w:r>
            <w:r>
              <w:rPr>
                <w:rFonts w:ascii="Times New Roman" w:hAnsi="Times New Roman" w:cs="Times New Roman"/>
                <w:color w:val="auto"/>
              </w:rPr>
              <w:t>总量控制</w:t>
            </w:r>
            <w:r>
              <w:rPr>
                <w:rFonts w:hint="eastAsia" w:ascii="Times New Roman" w:hAnsi="Times New Roman" w:cs="Times New Roman"/>
                <w:color w:val="auto"/>
              </w:rPr>
              <w:t>建议</w:t>
            </w:r>
            <w:r>
              <w:rPr>
                <w:rFonts w:ascii="Times New Roman" w:hAnsi="Times New Roman" w:cs="Times New Roman"/>
                <w:color w:val="auto"/>
              </w:rPr>
              <w:t>指标为</w:t>
            </w:r>
            <w:r>
              <w:rPr>
                <w:rFonts w:hint="eastAsia" w:ascii="Times New Roman" w:hAnsi="Times New Roman" w:cs="Times New Roman"/>
                <w:color w:val="auto"/>
              </w:rPr>
              <w:t>CODcr</w:t>
            </w:r>
            <w:r>
              <w:rPr>
                <w:rFonts w:ascii="Times New Roman" w:hAnsi="Times New Roman" w:cs="Times New Roman"/>
                <w:color w:val="auto"/>
              </w:rPr>
              <w:t>：</w:t>
            </w:r>
            <w:r>
              <w:rPr>
                <w:rFonts w:hint="eastAsia" w:ascii="Times New Roman" w:hAnsi="Times New Roman" w:cs="Times New Roman"/>
                <w:color w:val="auto"/>
              </w:rPr>
              <w:t>0.</w:t>
            </w:r>
            <w:r>
              <w:rPr>
                <w:rFonts w:hint="eastAsia" w:ascii="Times New Roman" w:hAnsi="Times New Roman" w:cs="Times New Roman"/>
                <w:color w:val="auto"/>
                <w:lang w:val="en-US" w:eastAsia="zh-CN"/>
              </w:rPr>
              <w:t>1016</w:t>
            </w:r>
            <w:r>
              <w:rPr>
                <w:rFonts w:ascii="Times New Roman" w:hAnsi="Times New Roman" w:cs="Times New Roman"/>
                <w:color w:val="auto"/>
              </w:rPr>
              <w:t>t/a</w:t>
            </w:r>
            <w:r>
              <w:rPr>
                <w:rFonts w:hint="eastAsia" w:ascii="Times New Roman" w:hAnsi="Times New Roman" w:cs="Times New Roman"/>
                <w:color w:val="auto"/>
              </w:rPr>
              <w:t>、NH</w:t>
            </w:r>
            <w:r>
              <w:rPr>
                <w:rFonts w:hint="eastAsia" w:ascii="Times New Roman" w:hAnsi="Times New Roman" w:cs="Times New Roman"/>
                <w:color w:val="auto"/>
                <w:vertAlign w:val="subscript"/>
              </w:rPr>
              <w:t>3</w:t>
            </w:r>
            <w:r>
              <w:rPr>
                <w:rFonts w:hint="eastAsia" w:ascii="Times New Roman" w:hAnsi="Times New Roman" w:cs="Times New Roman"/>
                <w:color w:val="auto"/>
              </w:rPr>
              <w:t>-N：</w:t>
            </w:r>
            <w:r>
              <w:rPr>
                <w:rFonts w:hint="eastAsia" w:ascii="Times New Roman" w:hAnsi="Times New Roman" w:cs="Times New Roman"/>
                <w:color w:val="auto"/>
                <w:lang w:val="en-US" w:eastAsia="zh-CN"/>
              </w:rPr>
              <w:t>0.0102</w:t>
            </w:r>
            <w:r>
              <w:rPr>
                <w:rFonts w:hint="eastAsia" w:ascii="Times New Roman" w:hAnsi="Times New Roman" w:cs="Times New Roman"/>
                <w:color w:val="auto"/>
              </w:rPr>
              <w:t>t/a；</w:t>
            </w:r>
          </w:p>
          <w:p>
            <w:pPr>
              <w:pStyle w:val="6"/>
              <w:ind w:firstLine="482"/>
              <w:outlineLvl w:val="2"/>
              <w:rPr>
                <w:color w:val="auto"/>
              </w:rPr>
            </w:pPr>
            <w:r>
              <w:rPr>
                <w:rFonts w:hint="eastAsia"/>
                <w:color w:val="auto"/>
              </w:rPr>
              <w:t>2.7规划及选址合理性分析</w:t>
            </w:r>
          </w:p>
          <w:p>
            <w:pPr>
              <w:ind w:firstLine="480" w:firstLineChars="200"/>
              <w:rPr>
                <w:rFonts w:ascii="Times New Roman" w:hAnsi="Times New Roman" w:cs="Times New Roman"/>
                <w:color w:val="auto"/>
              </w:rPr>
            </w:pPr>
            <w:r>
              <w:rPr>
                <w:rFonts w:ascii="Times New Roman" w:hAnsi="Times New Roman" w:cs="Times New Roman"/>
                <w:color w:val="auto"/>
              </w:rPr>
              <w:t>（1）产业政策符合性分析</w:t>
            </w:r>
          </w:p>
          <w:p>
            <w:pPr>
              <w:ind w:firstLine="480" w:firstLineChars="200"/>
              <w:rPr>
                <w:rFonts w:ascii="Times New Roman" w:hAnsi="Times New Roman" w:cs="Times New Roman"/>
                <w:color w:val="auto"/>
              </w:rPr>
            </w:pPr>
            <w:r>
              <w:rPr>
                <w:rFonts w:ascii="Times New Roman" w:hAnsi="Times New Roman" w:cs="Times New Roman"/>
                <w:color w:val="auto"/>
              </w:rPr>
              <w:t>本项目为</w:t>
            </w:r>
            <w:r>
              <w:rPr>
                <w:rFonts w:hint="eastAsia" w:ascii="Times New Roman" w:hAnsi="Times New Roman" w:cs="Times New Roman"/>
                <w:color w:val="auto"/>
              </w:rPr>
              <w:t>新增1台15t/h</w:t>
            </w:r>
            <w:r>
              <w:rPr>
                <w:rFonts w:ascii="Times New Roman" w:hAnsi="Times New Roman" w:cs="Times New Roman"/>
                <w:color w:val="auto"/>
              </w:rPr>
              <w:t>天然气锅炉项目，对照《产业结构调整指导目录(201</w:t>
            </w:r>
            <w:r>
              <w:rPr>
                <w:rFonts w:hint="eastAsia" w:ascii="Times New Roman" w:hAnsi="Times New Roman" w:cs="Times New Roman"/>
                <w:color w:val="auto"/>
              </w:rPr>
              <w:t>9</w:t>
            </w:r>
            <w:r>
              <w:rPr>
                <w:rFonts w:ascii="Times New Roman" w:hAnsi="Times New Roman" w:cs="Times New Roman"/>
                <w:color w:val="auto"/>
              </w:rPr>
              <w:t>年本)》可知，本项目不属于淘汰、限制类。根据《部分工业行业淘汰落后生产工艺装备和产品指导目录（201</w:t>
            </w:r>
            <w:r>
              <w:rPr>
                <w:rFonts w:hint="eastAsia" w:ascii="Times New Roman" w:hAnsi="Times New Roman" w:cs="Times New Roman"/>
                <w:color w:val="auto"/>
              </w:rPr>
              <w:t>6</w:t>
            </w:r>
            <w:r>
              <w:rPr>
                <w:rFonts w:ascii="Times New Roman" w:hAnsi="Times New Roman" w:cs="Times New Roman"/>
                <w:color w:val="auto"/>
              </w:rPr>
              <w:t>年本）》，本项目使用的原材料、生产设备等，均不属于《部分工业行业淘汰落后生产工艺装备和产品指导目录（201</w:t>
            </w:r>
            <w:r>
              <w:rPr>
                <w:rFonts w:hint="eastAsia" w:ascii="Times New Roman" w:hAnsi="Times New Roman" w:cs="Times New Roman"/>
                <w:color w:val="auto"/>
              </w:rPr>
              <w:t>6</w:t>
            </w:r>
            <w:r>
              <w:rPr>
                <w:rFonts w:ascii="Times New Roman" w:hAnsi="Times New Roman" w:cs="Times New Roman"/>
                <w:color w:val="auto"/>
              </w:rPr>
              <w:t>年本）》中的淘汰类，因此，本项目的建设符合国家产业政策。</w:t>
            </w:r>
          </w:p>
          <w:p>
            <w:pPr>
              <w:ind w:firstLine="480" w:firstLineChars="200"/>
              <w:rPr>
                <w:color w:val="auto"/>
              </w:rPr>
            </w:pPr>
            <w:r>
              <w:rPr>
                <w:rFonts w:hint="eastAsia"/>
                <w:color w:val="auto"/>
              </w:rPr>
              <w:t>（2）选址合理性分析</w:t>
            </w:r>
          </w:p>
          <w:p>
            <w:pPr>
              <w:pStyle w:val="2"/>
              <w:spacing w:after="0"/>
              <w:ind w:firstLine="480" w:firstLineChars="200"/>
              <w:rPr>
                <w:rFonts w:ascii="Times New Roman" w:hAnsi="Times New Roman" w:cs="Times New Roman"/>
                <w:color w:val="auto"/>
              </w:rPr>
            </w:pPr>
            <w:r>
              <w:rPr>
                <w:rFonts w:ascii="Times New Roman" w:hAnsi="Times New Roman" w:cs="Times New Roman"/>
                <w:color w:val="auto"/>
              </w:rPr>
              <w:t>项目位于岳阳市王家畈路以南、八字门路以东地块内，中心地理坐标为东经113.92678°，北纬29.224761°，在现有厂区锅炉房内进行锅炉</w:t>
            </w:r>
            <w:r>
              <w:rPr>
                <w:rFonts w:hint="eastAsia" w:ascii="Times New Roman" w:hAnsi="Times New Roman" w:cs="Times New Roman"/>
                <w:color w:val="auto"/>
              </w:rPr>
              <w:t>安装</w:t>
            </w:r>
            <w:r>
              <w:rPr>
                <w:rFonts w:ascii="Times New Roman" w:hAnsi="Times New Roman" w:cs="Times New Roman"/>
                <w:color w:val="auto"/>
              </w:rPr>
              <w:t>，不需新增用地。项目所在地不涉及自然保护区、风景名胜区等敏感区域，不占用基本农田，符合环境功能区划要求，项目采取相应的治理措施后，污染物实现达标排放，对外界环境影响较小。环评认为项目选址是可行的。</w:t>
            </w:r>
          </w:p>
          <w:p>
            <w:pPr>
              <w:ind w:firstLine="480" w:firstLineChars="200"/>
              <w:rPr>
                <w:color w:val="auto"/>
              </w:rPr>
            </w:pPr>
            <w:r>
              <w:rPr>
                <w:rFonts w:ascii="Times New Roman" w:hAnsi="Times New Roman" w:cs="Times New Roman"/>
                <w:color w:val="auto"/>
              </w:rPr>
              <w:t>（3）</w:t>
            </w:r>
            <w:r>
              <w:rPr>
                <w:rFonts w:hint="eastAsia" w:ascii="Times New Roman" w:hAnsi="Times New Roman" w:cs="Times New Roman"/>
                <w:color w:val="auto"/>
                <w:lang w:eastAsia="zh-CN"/>
              </w:rPr>
              <w:t>外</w:t>
            </w:r>
            <w:r>
              <w:rPr>
                <w:rFonts w:hint="eastAsia"/>
                <w:color w:val="auto"/>
              </w:rPr>
              <w:t>环境相容性分析</w:t>
            </w:r>
          </w:p>
          <w:p>
            <w:pPr>
              <w:ind w:firstLine="480" w:firstLineChars="200"/>
              <w:rPr>
                <w:rFonts w:ascii="Times New Roman" w:hAnsi="Times New Roman" w:cs="Times New Roman"/>
                <w:color w:val="auto"/>
              </w:rPr>
            </w:pPr>
            <w:r>
              <w:rPr>
                <w:rFonts w:ascii="Times New Roman" w:hAnsi="Times New Roman" w:cs="Times New Roman"/>
                <w:color w:val="auto"/>
              </w:rPr>
              <w:t>本项目地理位置优越，交通便利，同时项目周围无饮用水源保护区、自然保护区、名胜古迹保护区等环境保护目标。从环境容量分析，</w:t>
            </w:r>
            <w:r>
              <w:rPr>
                <w:rFonts w:hint="eastAsia" w:ascii="Times New Roman" w:hAnsi="Times New Roman" w:cs="Times New Roman"/>
                <w:color w:val="auto"/>
              </w:rPr>
              <w:t>2019年</w:t>
            </w:r>
            <w:r>
              <w:rPr>
                <w:rFonts w:ascii="Times New Roman" w:hAnsi="Times New Roman" w:cs="Times New Roman"/>
                <w:color w:val="auto"/>
              </w:rPr>
              <w:t>项目环境空气质量</w:t>
            </w:r>
            <w:r>
              <w:rPr>
                <w:rFonts w:hint="eastAsia" w:ascii="Times New Roman" w:hAnsi="Times New Roman" w:cs="Times New Roman"/>
                <w:color w:val="auto"/>
              </w:rPr>
              <w:t>除PM</w:t>
            </w:r>
            <w:r>
              <w:rPr>
                <w:rFonts w:hint="eastAsia" w:ascii="Times New Roman" w:hAnsi="Times New Roman" w:cs="Times New Roman"/>
                <w:color w:val="auto"/>
                <w:vertAlign w:val="subscript"/>
              </w:rPr>
              <w:t>2.5</w:t>
            </w:r>
            <w:r>
              <w:rPr>
                <w:rFonts w:hint="eastAsia" w:ascii="Times New Roman" w:hAnsi="Times New Roman" w:cs="Times New Roman"/>
                <w:color w:val="auto"/>
              </w:rPr>
              <w:t>、O</w:t>
            </w:r>
            <w:r>
              <w:rPr>
                <w:rFonts w:hint="eastAsia" w:ascii="Times New Roman" w:hAnsi="Times New Roman" w:cs="Times New Roman"/>
                <w:color w:val="auto"/>
                <w:vertAlign w:val="subscript"/>
              </w:rPr>
              <w:t>3</w:t>
            </w:r>
            <w:r>
              <w:rPr>
                <w:rFonts w:hint="eastAsia" w:ascii="Times New Roman" w:hAnsi="Times New Roman" w:cs="Times New Roman"/>
                <w:color w:val="auto"/>
              </w:rPr>
              <w:t>以外均能</w:t>
            </w:r>
            <w:r>
              <w:rPr>
                <w:rFonts w:ascii="Times New Roman" w:hAnsi="Times New Roman" w:cs="Times New Roman"/>
                <w:color w:val="auto"/>
              </w:rPr>
              <w:t>满足《环境空气质量标准》（GB3095-2012）二级标准要求；项目所在地声环境能够满足《声环境质量标准》（GB3096-2008）</w:t>
            </w:r>
            <w:r>
              <w:rPr>
                <w:rFonts w:hint="eastAsia" w:ascii="Times New Roman" w:hAnsi="Times New Roman" w:cs="Times New Roman"/>
                <w:color w:val="auto"/>
              </w:rPr>
              <w:t>2</w:t>
            </w:r>
            <w:r>
              <w:rPr>
                <w:rFonts w:ascii="Times New Roman" w:hAnsi="Times New Roman" w:cs="Times New Roman"/>
                <w:color w:val="auto"/>
              </w:rPr>
              <w:t>类标准；</w:t>
            </w:r>
            <w:r>
              <w:rPr>
                <w:rFonts w:hint="eastAsia" w:ascii="Times New Roman" w:hAnsi="Times New Roman" w:cs="Times New Roman"/>
                <w:color w:val="auto"/>
              </w:rPr>
              <w:t>北港河监测断面除PH、氨氮、化学需氧量以外其他</w:t>
            </w:r>
            <w:r>
              <w:rPr>
                <w:rFonts w:ascii="Times New Roman" w:hAnsi="Times New Roman" w:cs="Times New Roman"/>
                <w:color w:val="auto"/>
              </w:rPr>
              <w:t>监测因子能够满足《地表水环境质量标准》（GB3838-2002）中的</w:t>
            </w:r>
            <w:r>
              <w:rPr>
                <w:rFonts w:ascii="Times New Roman" w:hAnsi="Times New Roman" w:cs="Times New Roman"/>
                <w:color w:val="auto"/>
              </w:rPr>
              <w:fldChar w:fldCharType="begin"/>
            </w:r>
            <w:r>
              <w:rPr>
                <w:rFonts w:ascii="Times New Roman" w:hAnsi="Times New Roman" w:cs="Times New Roman"/>
                <w:color w:val="auto"/>
              </w:rPr>
              <w:instrText xml:space="preserve"> = 3 \* ROMAN \* MERGEFORMAT </w:instrText>
            </w:r>
            <w:r>
              <w:rPr>
                <w:rFonts w:ascii="Times New Roman" w:hAnsi="Times New Roman" w:cs="Times New Roman"/>
                <w:color w:val="auto"/>
              </w:rPr>
              <w:fldChar w:fldCharType="separate"/>
            </w:r>
            <w:r>
              <w:rPr>
                <w:rFonts w:ascii="Times New Roman" w:hAnsi="Times New Roman" w:cs="Times New Roman"/>
                <w:color w:val="auto"/>
              </w:rPr>
              <w:t>III</w:t>
            </w:r>
            <w:r>
              <w:rPr>
                <w:rFonts w:ascii="Times New Roman" w:hAnsi="Times New Roman" w:cs="Times New Roman"/>
                <w:color w:val="auto"/>
              </w:rPr>
              <w:fldChar w:fldCharType="end"/>
            </w:r>
            <w:r>
              <w:rPr>
                <w:rFonts w:ascii="Times New Roman" w:hAnsi="Times New Roman" w:cs="Times New Roman"/>
                <w:color w:val="auto"/>
              </w:rPr>
              <w:t>类标准要求</w:t>
            </w:r>
            <w:r>
              <w:rPr>
                <w:rFonts w:hint="eastAsia" w:ascii="Times New Roman" w:hAnsi="Times New Roman" w:cs="Times New Roman"/>
                <w:color w:val="auto"/>
              </w:rPr>
              <w:t>；南湖监测断面除总磷、总氮以外其他</w:t>
            </w:r>
            <w:r>
              <w:rPr>
                <w:rFonts w:ascii="Times New Roman" w:hAnsi="Times New Roman" w:cs="Times New Roman"/>
                <w:color w:val="auto"/>
              </w:rPr>
              <w:t>监测因子能够满足《地表水环境质量标准》（GB3838-2002）中的</w:t>
            </w:r>
            <w:r>
              <w:rPr>
                <w:rFonts w:ascii="Times New Roman" w:hAnsi="Times New Roman" w:cs="Times New Roman"/>
                <w:color w:val="auto"/>
              </w:rPr>
              <w:fldChar w:fldCharType="begin"/>
            </w:r>
            <w:r>
              <w:rPr>
                <w:rFonts w:ascii="Times New Roman" w:hAnsi="Times New Roman" w:cs="Times New Roman"/>
                <w:color w:val="auto"/>
              </w:rPr>
              <w:instrText xml:space="preserve"> = 3 \* ROMAN \* MERGEFORMAT </w:instrText>
            </w:r>
            <w:r>
              <w:rPr>
                <w:rFonts w:ascii="Times New Roman" w:hAnsi="Times New Roman" w:cs="Times New Roman"/>
                <w:color w:val="auto"/>
              </w:rPr>
              <w:fldChar w:fldCharType="separate"/>
            </w:r>
            <w:r>
              <w:rPr>
                <w:rFonts w:ascii="Times New Roman" w:hAnsi="Times New Roman" w:cs="Times New Roman"/>
                <w:color w:val="auto"/>
              </w:rPr>
              <w:t>III</w:t>
            </w:r>
            <w:r>
              <w:rPr>
                <w:rFonts w:ascii="Times New Roman" w:hAnsi="Times New Roman" w:cs="Times New Roman"/>
                <w:color w:val="auto"/>
              </w:rPr>
              <w:fldChar w:fldCharType="end"/>
            </w:r>
            <w:r>
              <w:rPr>
                <w:rFonts w:ascii="Times New Roman" w:hAnsi="Times New Roman" w:cs="Times New Roman"/>
                <w:color w:val="auto"/>
              </w:rPr>
              <w:t>类标准要求，可见与周围环境相容。</w:t>
            </w:r>
          </w:p>
          <w:p>
            <w:pPr>
              <w:ind w:firstLine="480" w:firstLineChars="200"/>
              <w:rPr>
                <w:rFonts w:ascii="Times New Roman" w:hAnsi="Times New Roman" w:cs="Times New Roman"/>
                <w:color w:val="auto"/>
                <w:u w:val="single"/>
              </w:rPr>
            </w:pPr>
            <w:r>
              <w:rPr>
                <w:rFonts w:hint="eastAsia" w:ascii="Times New Roman" w:hAnsi="Times New Roman" w:cs="Times New Roman"/>
                <w:color w:val="auto"/>
                <w:u w:val="single"/>
                <w:lang w:val="zh-TW" w:eastAsia="zh-CN"/>
              </w:rPr>
              <w:t>本项目</w:t>
            </w:r>
            <w:r>
              <w:rPr>
                <w:rFonts w:hint="eastAsia" w:ascii="Times New Roman" w:hAnsi="Times New Roman" w:cs="Times New Roman"/>
                <w:color w:val="auto"/>
                <w:u w:val="single"/>
                <w:lang w:val="zh-TW"/>
              </w:rPr>
              <w:t>厂址北面隔王家畈路为居民小区</w:t>
            </w:r>
            <w:r>
              <w:rPr>
                <w:rFonts w:hint="eastAsia" w:ascii="Times New Roman" w:hAnsi="Times New Roman" w:cs="Times New Roman"/>
                <w:color w:val="auto"/>
                <w:u w:val="single"/>
              </w:rPr>
              <w:t>，东北面有散户居民点，东面有富兴景城小区、</w:t>
            </w:r>
            <w:r>
              <w:rPr>
                <w:rFonts w:hint="eastAsia" w:ascii="Times New Roman" w:hAnsi="Times New Roman" w:cs="Times New Roman"/>
                <w:color w:val="auto"/>
                <w:u w:val="single"/>
                <w:lang w:val="zh-TW"/>
              </w:rPr>
              <w:t>湖南九鼎科技九鼎职院</w:t>
            </w:r>
            <w:r>
              <w:rPr>
                <w:rFonts w:hint="eastAsia" w:ascii="Times New Roman" w:hAnsi="Times New Roman" w:cs="Times New Roman"/>
                <w:color w:val="auto"/>
                <w:u w:val="single"/>
              </w:rPr>
              <w:t>，东南面为滨水天悦小区，</w:t>
            </w:r>
            <w:r>
              <w:rPr>
                <w:rFonts w:hint="eastAsia" w:ascii="Times New Roman" w:hAnsi="Times New Roman" w:cs="Times New Roman"/>
                <w:color w:val="auto"/>
                <w:u w:val="single"/>
                <w:lang w:val="zh-TW"/>
              </w:rPr>
              <w:t>南面为</w:t>
            </w:r>
            <w:r>
              <w:rPr>
                <w:rFonts w:hint="eastAsia" w:ascii="Times New Roman" w:hAnsi="Times New Roman" w:cs="Times New Roman"/>
                <w:color w:val="auto"/>
                <w:u w:val="single"/>
              </w:rPr>
              <w:t>富兴华城小区距离约25米。</w:t>
            </w:r>
            <w:r>
              <w:rPr>
                <w:rFonts w:hint="eastAsia" w:ascii="Times New Roman" w:hAnsi="Times New Roman" w:cs="Times New Roman"/>
                <w:color w:val="auto"/>
                <w:u w:val="single"/>
                <w:lang w:val="zh-TW"/>
              </w:rPr>
              <w:t>西面为大桥村居民点和大桥河，与项目隔旭园路，分布较为分散，最近居民点距离项目约</w:t>
            </w:r>
            <w:r>
              <w:rPr>
                <w:rFonts w:hint="eastAsia" w:ascii="Times New Roman" w:hAnsi="Times New Roman" w:cs="Times New Roman"/>
                <w:color w:val="auto"/>
                <w:u w:val="single"/>
              </w:rPr>
              <w:t>25</w:t>
            </w:r>
            <w:r>
              <w:rPr>
                <w:rFonts w:hint="eastAsia" w:ascii="Times New Roman" w:hAnsi="Times New Roman" w:cs="Times New Roman"/>
                <w:color w:val="auto"/>
                <w:u w:val="single"/>
                <w:lang w:val="zh-TW"/>
              </w:rPr>
              <w:t>米。</w:t>
            </w:r>
            <w:r>
              <w:rPr>
                <w:rFonts w:hint="eastAsia" w:ascii="Times New Roman" w:hAnsi="Times New Roman" w:cs="Times New Roman"/>
                <w:color w:val="auto"/>
                <w:u w:val="single"/>
                <w:lang w:val="zh-TW" w:eastAsia="zh-CN"/>
              </w:rPr>
              <w:t>项目产生的废气、废水、噪声经采取各类措施后均能达标排放，故对周边环境敏感目标影响不大，</w:t>
            </w:r>
            <w:r>
              <w:rPr>
                <w:rFonts w:ascii="Times New Roman" w:hAnsi="Times New Roman" w:cs="Times New Roman"/>
                <w:color w:val="auto"/>
                <w:u w:val="single"/>
              </w:rPr>
              <w:t>可见与周围环境相容。</w:t>
            </w:r>
          </w:p>
          <w:p>
            <w:pPr>
              <w:numPr>
                <w:ilvl w:val="0"/>
                <w:numId w:val="9"/>
              </w:numPr>
              <w:ind w:left="0" w:leftChars="0" w:firstLine="480" w:firstLineChars="200"/>
              <w:rPr>
                <w:rFonts w:hint="eastAsia" w:ascii="Times New Roman" w:hAnsi="Times New Roman" w:cs="Times New Roman"/>
                <w:color w:val="auto"/>
                <w:u w:val="single"/>
                <w:lang w:eastAsia="zh-CN"/>
              </w:rPr>
            </w:pPr>
            <w:r>
              <w:rPr>
                <w:rFonts w:hint="eastAsia" w:ascii="Times New Roman" w:hAnsi="Times New Roman" w:cs="Times New Roman"/>
                <w:color w:val="auto"/>
                <w:u w:val="single"/>
                <w:lang w:eastAsia="zh-CN"/>
              </w:rPr>
              <w:t>平面布局合理性分析</w:t>
            </w:r>
          </w:p>
          <w:p>
            <w:pPr>
              <w:ind w:firstLine="480" w:firstLineChars="200"/>
              <w:rPr>
                <w:rFonts w:hint="default" w:ascii="Times New Roman" w:hAnsi="Times New Roman" w:cs="Times New Roman"/>
                <w:color w:val="auto"/>
                <w:u w:val="single"/>
                <w:lang w:val="en-US" w:eastAsia="zh-CN"/>
              </w:rPr>
            </w:pPr>
            <w:r>
              <w:rPr>
                <w:rFonts w:hint="eastAsia" w:ascii="Times New Roman" w:hAnsi="Times New Roman" w:cs="Times New Roman"/>
                <w:color w:val="auto"/>
                <w:u w:val="single"/>
                <w:lang w:eastAsia="zh-CN"/>
              </w:rPr>
              <w:t>企业现有锅炉与本项目新增锅炉均布置在锅炉房二楼，两台锅炉及烟囱均停放于锅炉房西侧，与西侧大桥村距离</w:t>
            </w:r>
            <w:r>
              <w:rPr>
                <w:rFonts w:hint="eastAsia" w:ascii="Times New Roman" w:hAnsi="Times New Roman" w:cs="Times New Roman"/>
                <w:color w:val="auto"/>
                <w:u w:val="single"/>
                <w:lang w:val="en-US" w:eastAsia="zh-CN"/>
              </w:rPr>
              <w:t>50m、南侧富兴华城小区距离25m，锅炉操作室、储物间、办公室等布置于锅炉房东侧。本项目锅炉为一体式设备，其摆放位置远离西侧厂界50m处的大桥村及南侧厂界25m处的富兴华城小区，可尽量减少噪声对周边居民的影响；项目所在地主导风向为北风，烟囱布置于锅炉房西侧，由此可尽量减少废气排放对南侧厂界25m处的富兴华城小区。综上，本项目锅炉房平面布局合理。</w:t>
            </w:r>
          </w:p>
          <w:p>
            <w:pPr>
              <w:pStyle w:val="6"/>
              <w:ind w:firstLine="482"/>
              <w:outlineLvl w:val="2"/>
              <w:rPr>
                <w:color w:val="auto"/>
              </w:rPr>
            </w:pPr>
            <w:r>
              <w:rPr>
                <w:rFonts w:hint="eastAsia"/>
                <w:color w:val="auto"/>
              </w:rPr>
              <w:t>2.8环境管理规划与监测</w:t>
            </w:r>
          </w:p>
          <w:p>
            <w:pPr>
              <w:ind w:firstLine="480" w:firstLineChars="200"/>
              <w:rPr>
                <w:rFonts w:ascii="Times New Roman" w:hAnsi="Times New Roman" w:cs="Times New Roman"/>
                <w:color w:val="auto"/>
              </w:rPr>
            </w:pPr>
            <w:r>
              <w:rPr>
                <w:rFonts w:hint="eastAsia"/>
                <w:color w:val="auto"/>
              </w:rPr>
              <w:t>2</w:t>
            </w:r>
            <w:r>
              <w:rPr>
                <w:rFonts w:hint="eastAsia" w:ascii="Times New Roman" w:hAnsi="Times New Roman" w:cs="Times New Roman"/>
                <w:color w:val="auto"/>
              </w:rPr>
              <w:t>.8.1环境管理</w:t>
            </w:r>
          </w:p>
          <w:p>
            <w:pPr>
              <w:ind w:firstLine="480" w:firstLineChars="200"/>
              <w:rPr>
                <w:rFonts w:ascii="Times New Roman" w:hAnsi="Times New Roman" w:cs="Times New Roman"/>
                <w:color w:val="auto"/>
              </w:rPr>
            </w:pPr>
            <w:r>
              <w:rPr>
                <w:rFonts w:hint="eastAsia" w:ascii="Times New Roman" w:hAnsi="Times New Roman" w:cs="Times New Roman"/>
                <w:color w:val="auto"/>
              </w:rPr>
              <w:t>项目环境管理工作重点应从减少污染物排放，降低对环境影响等方面进行分项控制，环境管理工作计划见下表：</w:t>
            </w:r>
          </w:p>
          <w:p>
            <w:pPr>
              <w:spacing w:line="360" w:lineRule="auto"/>
              <w:jc w:val="center"/>
              <w:rPr>
                <w:rFonts w:ascii="Times New Roman" w:hAnsi="Times New Roman" w:cs="Times New Roman"/>
                <w:b/>
                <w:bCs/>
                <w:color w:val="auto"/>
              </w:rPr>
            </w:pPr>
            <w:r>
              <w:rPr>
                <w:rFonts w:hint="eastAsia" w:ascii="Times New Roman" w:hAnsi="Times New Roman" w:cs="Times New Roman"/>
                <w:b/>
                <w:bCs/>
                <w:color w:val="auto"/>
              </w:rPr>
              <w:t>表7-13  环境管理计划一栏表</w:t>
            </w:r>
          </w:p>
          <w:tbl>
            <w:tblPr>
              <w:tblStyle w:val="18"/>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55"/>
              <w:gridCol w:w="711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5"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hint="eastAsia" w:ascii="Times New Roman" w:hAnsi="Times New Roman" w:cs="Times New Roman"/>
                      <w:b/>
                      <w:bCs/>
                      <w:color w:val="auto"/>
                      <w:sz w:val="21"/>
                      <w:szCs w:val="21"/>
                    </w:rPr>
                    <w:t>阶段</w:t>
                  </w:r>
                </w:p>
              </w:tc>
              <w:tc>
                <w:tcPr>
                  <w:tcW w:w="7115"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rPr>
                  </w:pPr>
                  <w:r>
                    <w:rPr>
                      <w:rFonts w:ascii="Times New Roman" w:hAnsi="Times New Roman" w:cs="Times New Roman"/>
                      <w:b/>
                      <w:bCs/>
                      <w:color w:val="auto"/>
                      <w:sz w:val="21"/>
                      <w:szCs w:val="21"/>
                    </w:rPr>
                    <w:t>环境管理工作内容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5" w:type="dxa"/>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施工阶段</w:t>
                  </w:r>
                </w:p>
              </w:tc>
              <w:tc>
                <w:tcPr>
                  <w:tcW w:w="7115" w:type="dxa"/>
                  <w:tcBorders>
                    <w:top w:val="single" w:color="auto" w:sz="12" w:space="0"/>
                    <w:tl2br w:val="nil"/>
                    <w:tr2bl w:val="nil"/>
                  </w:tcBorders>
                  <w:vAlign w:val="center"/>
                </w:tcPr>
                <w:p>
                  <w:pPr>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根据国家建设项目环境保护管理规定，认真落实各项环保手续</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w:t>
                  </w:r>
                  <w:r>
                    <w:rPr>
                      <w:rFonts w:ascii="Times New Roman" w:hAnsi="Times New Roman" w:cs="Times New Roman"/>
                      <w:color w:val="auto"/>
                      <w:sz w:val="21"/>
                      <w:szCs w:val="21"/>
                    </w:rPr>
                    <w:t>1</w:t>
                  </w:r>
                  <w:r>
                    <w:rPr>
                      <w:rFonts w:hint="eastAsia" w:ascii="Times New Roman" w:hAnsi="Times New Roman" w:cs="Times New Roman"/>
                      <w:color w:val="auto"/>
                      <w:sz w:val="21"/>
                      <w:szCs w:val="21"/>
                    </w:rPr>
                    <w:t>）可研阶段，委托评价单位进行环境影响评价工作。</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w:t>
                  </w:r>
                  <w:r>
                    <w:rPr>
                      <w:rFonts w:ascii="Times New Roman" w:hAnsi="Times New Roman" w:cs="Times New Roman"/>
                      <w:color w:val="auto"/>
                      <w:sz w:val="21"/>
                      <w:szCs w:val="21"/>
                    </w:rPr>
                    <w:t>2</w:t>
                  </w:r>
                  <w:r>
                    <w:rPr>
                      <w:rFonts w:hint="eastAsia" w:ascii="Times New Roman" w:hAnsi="Times New Roman" w:cs="Times New Roman"/>
                      <w:color w:val="auto"/>
                      <w:sz w:val="21"/>
                      <w:szCs w:val="21"/>
                    </w:rPr>
                    <w:t>）开工前，履行</w:t>
                  </w:r>
                  <w:r>
                    <w:rPr>
                      <w:rFonts w:ascii="Times New Roman" w:hAnsi="Times New Roman" w:cs="Times New Roman"/>
                      <w:color w:val="auto"/>
                      <w:sz w:val="21"/>
                      <w:szCs w:val="21"/>
                    </w:rPr>
                    <w:t>“</w:t>
                  </w:r>
                  <w:r>
                    <w:rPr>
                      <w:rFonts w:hint="eastAsia" w:ascii="Times New Roman" w:hAnsi="Times New Roman" w:cs="Times New Roman"/>
                      <w:color w:val="auto"/>
                      <w:sz w:val="21"/>
                      <w:szCs w:val="21"/>
                    </w:rPr>
                    <w:t>三同时</w:t>
                  </w:r>
                  <w:r>
                    <w:rPr>
                      <w:rFonts w:ascii="Times New Roman" w:hAnsi="Times New Roman" w:cs="Times New Roman"/>
                      <w:color w:val="auto"/>
                      <w:sz w:val="21"/>
                      <w:szCs w:val="21"/>
                    </w:rPr>
                    <w:t>”</w:t>
                  </w:r>
                  <w:r>
                    <w:rPr>
                      <w:rFonts w:hint="eastAsia" w:ascii="Times New Roman" w:hAnsi="Times New Roman" w:cs="Times New Roman"/>
                      <w:color w:val="auto"/>
                      <w:sz w:val="21"/>
                      <w:szCs w:val="21"/>
                    </w:rPr>
                    <w:t>手续。</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w:t>
                  </w:r>
                  <w:r>
                    <w:rPr>
                      <w:rFonts w:ascii="Times New Roman" w:hAnsi="Times New Roman" w:cs="Times New Roman"/>
                      <w:color w:val="auto"/>
                      <w:sz w:val="21"/>
                      <w:szCs w:val="21"/>
                    </w:rPr>
                    <w:t>3</w:t>
                  </w:r>
                  <w:r>
                    <w:rPr>
                      <w:rFonts w:hint="eastAsia" w:ascii="Times New Roman" w:hAnsi="Times New Roman" w:cs="Times New Roman"/>
                      <w:color w:val="auto"/>
                      <w:sz w:val="21"/>
                      <w:szCs w:val="21"/>
                    </w:rPr>
                    <w:t>）合理安排施工计划和施工机械合理布局，禁止夜间（</w:t>
                  </w:r>
                  <w:r>
                    <w:rPr>
                      <w:rFonts w:ascii="Times New Roman" w:hAnsi="Times New Roman" w:cs="Times New Roman"/>
                      <w:color w:val="auto"/>
                      <w:sz w:val="21"/>
                      <w:szCs w:val="21"/>
                    </w:rPr>
                    <w:t>20</w:t>
                  </w:r>
                  <w:r>
                    <w:rPr>
                      <w:rFonts w:hint="eastAsia" w:ascii="Times New Roman" w:hAnsi="Times New Roman" w:cs="Times New Roman"/>
                      <w:color w:val="auto"/>
                      <w:sz w:val="21"/>
                      <w:szCs w:val="21"/>
                    </w:rPr>
                    <w:t>：</w:t>
                  </w:r>
                  <w:r>
                    <w:rPr>
                      <w:rFonts w:ascii="Times New Roman" w:hAnsi="Times New Roman" w:cs="Times New Roman"/>
                      <w:color w:val="auto"/>
                      <w:sz w:val="21"/>
                      <w:szCs w:val="21"/>
                    </w:rPr>
                    <w:t>00-8</w:t>
                  </w:r>
                  <w:r>
                    <w:rPr>
                      <w:rFonts w:hint="eastAsia" w:ascii="Times New Roman" w:hAnsi="Times New Roman" w:cs="Times New Roman"/>
                      <w:color w:val="auto"/>
                      <w:sz w:val="21"/>
                      <w:szCs w:val="21"/>
                    </w:rPr>
                    <w:t>：</w:t>
                  </w:r>
                  <w:r>
                    <w:rPr>
                      <w:rFonts w:ascii="Times New Roman" w:hAnsi="Times New Roman" w:cs="Times New Roman"/>
                      <w:color w:val="auto"/>
                      <w:sz w:val="21"/>
                      <w:szCs w:val="21"/>
                    </w:rPr>
                    <w:t>00</w:t>
                  </w:r>
                  <w:r>
                    <w:rPr>
                      <w:rFonts w:hint="eastAsia" w:ascii="Times New Roman" w:hAnsi="Times New Roman" w:cs="Times New Roman"/>
                      <w:color w:val="auto"/>
                      <w:sz w:val="21"/>
                      <w:szCs w:val="21"/>
                    </w:rPr>
                    <w:t>）</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进行产生环境噪声污染的建筑施工作业。</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w:t>
                  </w:r>
                  <w:r>
                    <w:rPr>
                      <w:rFonts w:ascii="Times New Roman" w:hAnsi="Times New Roman" w:cs="Times New Roman"/>
                      <w:color w:val="auto"/>
                      <w:sz w:val="21"/>
                      <w:szCs w:val="21"/>
                    </w:rPr>
                    <w:t>4</w:t>
                  </w:r>
                  <w:r>
                    <w:rPr>
                      <w:rFonts w:hint="eastAsia" w:ascii="Times New Roman" w:hAnsi="Times New Roman" w:cs="Times New Roman"/>
                      <w:color w:val="auto"/>
                      <w:sz w:val="21"/>
                      <w:szCs w:val="21"/>
                    </w:rPr>
                    <w:t>）对运输车辆加强管理，对噪声较大的设备采取隔声、减振措施。</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w:t>
                  </w:r>
                  <w:r>
                    <w:rPr>
                      <w:rFonts w:ascii="Times New Roman" w:hAnsi="Times New Roman" w:cs="Times New Roman"/>
                      <w:color w:val="auto"/>
                      <w:sz w:val="21"/>
                      <w:szCs w:val="21"/>
                    </w:rPr>
                    <w:t>5</w:t>
                  </w:r>
                  <w:r>
                    <w:rPr>
                      <w:rFonts w:hint="eastAsia" w:ascii="Times New Roman" w:hAnsi="Times New Roman" w:cs="Times New Roman"/>
                      <w:color w:val="auto"/>
                      <w:sz w:val="21"/>
                      <w:szCs w:val="21"/>
                    </w:rPr>
                    <w:t>）配合环境监测单位搞好监测工作。</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营运阶段</w:t>
                  </w:r>
                </w:p>
              </w:tc>
              <w:tc>
                <w:tcPr>
                  <w:tcW w:w="7115" w:type="dxa"/>
                  <w:tcBorders>
                    <w:tl2br w:val="nil"/>
                    <w:tr2bl w:val="nil"/>
                  </w:tcBorders>
                  <w:vAlign w:val="center"/>
                </w:tcPr>
                <w:p>
                  <w:pPr>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保证环保设施正常运行，主动接受环保部门监督，备有事故应急措施</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w:t>
                  </w:r>
                  <w:r>
                    <w:rPr>
                      <w:rFonts w:ascii="Times New Roman" w:hAnsi="Times New Roman" w:cs="Times New Roman"/>
                      <w:color w:val="auto"/>
                      <w:sz w:val="21"/>
                      <w:szCs w:val="21"/>
                    </w:rPr>
                    <w:t>1</w:t>
                  </w:r>
                  <w:r>
                    <w:rPr>
                      <w:rFonts w:hint="eastAsia" w:ascii="Times New Roman" w:hAnsi="Times New Roman" w:cs="Times New Roman"/>
                      <w:color w:val="auto"/>
                      <w:sz w:val="21"/>
                      <w:szCs w:val="21"/>
                    </w:rPr>
                    <w:t>）主管副经理全面负责环保工作。</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w:t>
                  </w:r>
                  <w:r>
                    <w:rPr>
                      <w:rFonts w:ascii="Times New Roman" w:hAnsi="Times New Roman" w:cs="Times New Roman"/>
                      <w:color w:val="auto"/>
                      <w:sz w:val="21"/>
                      <w:szCs w:val="21"/>
                    </w:rPr>
                    <w:t>2</w:t>
                  </w:r>
                  <w:r>
                    <w:rPr>
                      <w:rFonts w:hint="eastAsia" w:ascii="Times New Roman" w:hAnsi="Times New Roman" w:cs="Times New Roman"/>
                      <w:color w:val="auto"/>
                      <w:sz w:val="21"/>
                      <w:szCs w:val="21"/>
                    </w:rPr>
                    <w:t>）公司环保管理部门负责厂内环保设施的管理和维护。</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w:t>
                  </w:r>
                  <w:r>
                    <w:rPr>
                      <w:rFonts w:ascii="Times New Roman" w:hAnsi="Times New Roman" w:cs="Times New Roman"/>
                      <w:color w:val="auto"/>
                      <w:sz w:val="21"/>
                      <w:szCs w:val="21"/>
                    </w:rPr>
                    <w:t>3</w:t>
                  </w:r>
                  <w:r>
                    <w:rPr>
                      <w:rFonts w:hint="eastAsia" w:ascii="Times New Roman" w:hAnsi="Times New Roman" w:cs="Times New Roman"/>
                      <w:color w:val="auto"/>
                      <w:sz w:val="21"/>
                      <w:szCs w:val="21"/>
                    </w:rPr>
                    <w:t>）对污染物治理设施，建立环保设施档案。</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w:t>
                  </w:r>
                  <w:r>
                    <w:rPr>
                      <w:rFonts w:ascii="Times New Roman" w:hAnsi="Times New Roman" w:cs="Times New Roman"/>
                      <w:color w:val="auto"/>
                      <w:sz w:val="21"/>
                      <w:szCs w:val="21"/>
                    </w:rPr>
                    <w:t>4</w:t>
                  </w:r>
                  <w:r>
                    <w:rPr>
                      <w:rFonts w:hint="eastAsia" w:ascii="Times New Roman" w:hAnsi="Times New Roman" w:cs="Times New Roman"/>
                      <w:color w:val="auto"/>
                      <w:sz w:val="21"/>
                      <w:szCs w:val="21"/>
                    </w:rPr>
                    <w:t>）定期组织污染源和厂区环境监测。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5" w:type="dxa"/>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信息反馈和群众监督</w:t>
                  </w:r>
                </w:p>
              </w:tc>
              <w:tc>
                <w:tcPr>
                  <w:tcW w:w="7115" w:type="dxa"/>
                  <w:tcBorders>
                    <w:tl2br w:val="nil"/>
                    <w:tr2bl w:val="nil"/>
                  </w:tcBorders>
                  <w:vAlign w:val="center"/>
                </w:tcPr>
                <w:p>
                  <w:pPr>
                    <w:spacing w:line="240" w:lineRule="auto"/>
                    <w:rPr>
                      <w:rFonts w:ascii="Times New Roman" w:hAnsi="Times New Roman" w:cs="Times New Roman"/>
                      <w:color w:val="auto"/>
                      <w:sz w:val="21"/>
                      <w:szCs w:val="21"/>
                    </w:rPr>
                  </w:pPr>
                  <w:r>
                    <w:rPr>
                      <w:rFonts w:hint="eastAsia" w:ascii="Times New Roman" w:hAnsi="Times New Roman" w:cs="Times New Roman"/>
                      <w:color w:val="auto"/>
                      <w:sz w:val="21"/>
                      <w:szCs w:val="21"/>
                    </w:rPr>
                    <w:t>反馈监测数据，加强群众监督，改进污染治理工作。</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（1）建立奖惩制度，保证环保设施正常运转。</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（2）归纳整理监测数据，技术部门配合进行工艺改进。</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（3）聘请附近村民为监督员，收集附近村民意见。</w:t>
                  </w:r>
                </w:p>
                <w:p>
                  <w:pPr>
                    <w:spacing w:line="240" w:lineRule="auto"/>
                    <w:ind w:firstLine="420" w:firstLineChars="200"/>
                    <w:rPr>
                      <w:rFonts w:ascii="Times New Roman" w:hAnsi="Times New Roman" w:cs="Times New Roman"/>
                      <w:color w:val="auto"/>
                      <w:sz w:val="21"/>
                      <w:szCs w:val="21"/>
                    </w:rPr>
                  </w:pPr>
                  <w:r>
                    <w:rPr>
                      <w:rFonts w:hint="eastAsia" w:ascii="Times New Roman" w:hAnsi="Times New Roman" w:cs="Times New Roman"/>
                      <w:color w:val="auto"/>
                      <w:sz w:val="21"/>
                      <w:szCs w:val="21"/>
                    </w:rPr>
                    <w:t>（4）配合环保部门的检查验收。</w:t>
                  </w:r>
                </w:p>
              </w:tc>
            </w:tr>
          </w:tbl>
          <w:p>
            <w:pPr>
              <w:ind w:firstLine="480" w:firstLineChars="200"/>
              <w:rPr>
                <w:rFonts w:ascii="Times New Roman" w:hAnsi="Times New Roman" w:cs="Times New Roman"/>
                <w:color w:val="auto"/>
              </w:rPr>
            </w:pPr>
            <w:r>
              <w:rPr>
                <w:rFonts w:ascii="Times New Roman" w:hAnsi="Times New Roman" w:cs="Times New Roman"/>
                <w:color w:val="auto"/>
              </w:rPr>
              <w:t>2</w:t>
            </w:r>
            <w:r>
              <w:rPr>
                <w:rFonts w:hint="eastAsia" w:ascii="Times New Roman" w:hAnsi="Times New Roman" w:cs="Times New Roman"/>
                <w:color w:val="auto"/>
              </w:rPr>
              <w:t>.8.2环境监测</w:t>
            </w:r>
          </w:p>
          <w:p>
            <w:pPr>
              <w:pStyle w:val="14"/>
              <w:spacing w:before="0" w:beforeAutospacing="0" w:after="0" w:afterAutospacing="0"/>
              <w:ind w:firstLine="480" w:firstLineChars="200"/>
              <w:rPr>
                <w:rFonts w:ascii="Times New Roman" w:hAnsi="Times New Roman" w:cs="Times New Roman"/>
                <w:bCs/>
                <w:color w:val="auto"/>
              </w:rPr>
            </w:pPr>
            <w:r>
              <w:rPr>
                <w:rFonts w:ascii="Times New Roman" w:hAnsi="Times New Roman" w:cs="Times New Roman"/>
                <w:bCs/>
                <w:color w:val="auto"/>
              </w:rPr>
              <w:t>为了解项目的环境影响及环境质量变化趋势，应建立污染源分类技术档案和监测档案，为环境污染治理提供必要的依据。环境监测计划安排如下。</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表7-</w:t>
            </w:r>
            <w:r>
              <w:rPr>
                <w:rFonts w:hint="eastAsia" w:ascii="Times New Roman" w:hAnsi="Times New Roman" w:cs="Times New Roman"/>
                <w:b/>
                <w:bCs/>
                <w:color w:val="auto"/>
              </w:rPr>
              <w:t>14</w:t>
            </w:r>
            <w:r>
              <w:rPr>
                <w:rFonts w:ascii="Times New Roman" w:hAnsi="Times New Roman" w:cs="Times New Roman"/>
                <w:b/>
                <w:bCs/>
                <w:color w:val="auto"/>
              </w:rPr>
              <w:t xml:space="preserve">  环境监测计划一览表</w:t>
            </w:r>
          </w:p>
          <w:tbl>
            <w:tblPr>
              <w:tblStyle w:val="17"/>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75"/>
              <w:gridCol w:w="2566"/>
              <w:gridCol w:w="2564"/>
              <w:gridCol w:w="256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bottom w:val="single" w:color="auto" w:sz="12" w:space="0"/>
                  </w:tcBorders>
                  <w:vAlign w:val="center"/>
                </w:tcPr>
                <w:p>
                  <w:pPr>
                    <w:adjustRightInd w:val="0"/>
                    <w:snapToGrid w:val="0"/>
                    <w:spacing w:line="240" w:lineRule="auto"/>
                    <w:jc w:val="center"/>
                    <w:rPr>
                      <w:rFonts w:ascii="Times New Roman" w:hAnsi="Times New Roman" w:cs="Times New Roman"/>
                      <w:b/>
                      <w:color w:val="auto"/>
                      <w:kern w:val="0"/>
                      <w:sz w:val="21"/>
                      <w:szCs w:val="21"/>
                    </w:rPr>
                  </w:pPr>
                  <w:r>
                    <w:rPr>
                      <w:rFonts w:ascii="Times New Roman" w:hAnsi="Times New Roman" w:cs="Times New Roman"/>
                      <w:b/>
                      <w:color w:val="auto"/>
                      <w:kern w:val="0"/>
                      <w:sz w:val="21"/>
                      <w:szCs w:val="21"/>
                    </w:rPr>
                    <w:t>监测项目</w:t>
                  </w:r>
                </w:p>
              </w:tc>
              <w:tc>
                <w:tcPr>
                  <w:tcW w:w="2566" w:type="dxa"/>
                  <w:tcBorders>
                    <w:bottom w:val="single" w:color="auto" w:sz="12" w:space="0"/>
                  </w:tcBorders>
                  <w:vAlign w:val="center"/>
                </w:tcPr>
                <w:p>
                  <w:pPr>
                    <w:adjustRightInd w:val="0"/>
                    <w:snapToGrid w:val="0"/>
                    <w:spacing w:line="240" w:lineRule="auto"/>
                    <w:jc w:val="center"/>
                    <w:rPr>
                      <w:rFonts w:ascii="Times New Roman" w:hAnsi="Times New Roman" w:cs="Times New Roman"/>
                      <w:b/>
                      <w:color w:val="auto"/>
                      <w:kern w:val="0"/>
                      <w:sz w:val="21"/>
                      <w:szCs w:val="21"/>
                    </w:rPr>
                  </w:pPr>
                  <w:r>
                    <w:rPr>
                      <w:rFonts w:ascii="Times New Roman" w:hAnsi="Times New Roman" w:cs="Times New Roman"/>
                      <w:b/>
                      <w:color w:val="auto"/>
                      <w:kern w:val="0"/>
                      <w:sz w:val="21"/>
                      <w:szCs w:val="21"/>
                    </w:rPr>
                    <w:t>监测点位</w:t>
                  </w:r>
                </w:p>
              </w:tc>
              <w:tc>
                <w:tcPr>
                  <w:tcW w:w="2564" w:type="dxa"/>
                  <w:tcBorders>
                    <w:bottom w:val="single" w:color="auto" w:sz="12" w:space="0"/>
                  </w:tcBorders>
                  <w:vAlign w:val="center"/>
                </w:tcPr>
                <w:p>
                  <w:pPr>
                    <w:adjustRightInd w:val="0"/>
                    <w:snapToGrid w:val="0"/>
                    <w:spacing w:line="240" w:lineRule="auto"/>
                    <w:jc w:val="center"/>
                    <w:rPr>
                      <w:rFonts w:ascii="Times New Roman" w:hAnsi="Times New Roman" w:cs="Times New Roman"/>
                      <w:b/>
                      <w:color w:val="auto"/>
                      <w:kern w:val="0"/>
                      <w:sz w:val="21"/>
                      <w:szCs w:val="21"/>
                    </w:rPr>
                  </w:pPr>
                  <w:r>
                    <w:rPr>
                      <w:rFonts w:ascii="Times New Roman" w:hAnsi="Times New Roman" w:cs="Times New Roman"/>
                      <w:b/>
                      <w:color w:val="auto"/>
                      <w:kern w:val="0"/>
                      <w:sz w:val="21"/>
                      <w:szCs w:val="21"/>
                    </w:rPr>
                    <w:t>监测因子</w:t>
                  </w:r>
                </w:p>
              </w:tc>
              <w:tc>
                <w:tcPr>
                  <w:tcW w:w="2565" w:type="dxa"/>
                  <w:tcBorders>
                    <w:bottom w:val="single" w:color="auto" w:sz="12" w:space="0"/>
                  </w:tcBorders>
                  <w:vAlign w:val="center"/>
                </w:tcPr>
                <w:p>
                  <w:pPr>
                    <w:adjustRightInd w:val="0"/>
                    <w:snapToGrid w:val="0"/>
                    <w:spacing w:line="240" w:lineRule="auto"/>
                    <w:jc w:val="center"/>
                    <w:rPr>
                      <w:rFonts w:ascii="Times New Roman" w:hAnsi="Times New Roman" w:cs="Times New Roman"/>
                      <w:color w:val="auto"/>
                      <w:sz w:val="21"/>
                      <w:szCs w:val="21"/>
                    </w:rPr>
                  </w:pPr>
                  <w:r>
                    <w:rPr>
                      <w:rFonts w:ascii="Times New Roman" w:hAnsi="Times New Roman" w:cs="Times New Roman"/>
                      <w:b/>
                      <w:color w:val="auto"/>
                      <w:kern w:val="0"/>
                      <w:sz w:val="21"/>
                      <w:szCs w:val="21"/>
                    </w:rPr>
                    <w:t>监测频率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Align w:val="center"/>
                </w:tcPr>
                <w:p>
                  <w:pPr>
                    <w:adjustRightInd w:val="0"/>
                    <w:snapToGrid w:val="0"/>
                    <w:spacing w:line="240" w:lineRule="auto"/>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大气</w:t>
                  </w:r>
                </w:p>
              </w:tc>
              <w:tc>
                <w:tcPr>
                  <w:tcW w:w="2566" w:type="dxa"/>
                  <w:vAlign w:val="center"/>
                </w:tcPr>
                <w:p>
                  <w:pPr>
                    <w:adjustRightInd w:val="0"/>
                    <w:snapToGrid w:val="0"/>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kern w:val="0"/>
                      <w:sz w:val="21"/>
                      <w:szCs w:val="21"/>
                    </w:rPr>
                    <w:t>2</w:t>
                  </w:r>
                  <w:r>
                    <w:rPr>
                      <w:rFonts w:hint="eastAsia" w:ascii="Times New Roman" w:hAnsi="Times New Roman" w:cs="Times New Roman"/>
                      <w:color w:val="auto"/>
                      <w:kern w:val="0"/>
                      <w:sz w:val="21"/>
                      <w:szCs w:val="21"/>
                      <w:lang w:val="en-US" w:eastAsia="zh-CN"/>
                    </w:rPr>
                    <w:t>3</w:t>
                  </w:r>
                  <w:r>
                    <w:rPr>
                      <w:rFonts w:ascii="Times New Roman" w:hAnsi="Times New Roman" w:cs="Times New Roman"/>
                      <w:color w:val="auto"/>
                      <w:kern w:val="0"/>
                      <w:sz w:val="21"/>
                      <w:szCs w:val="21"/>
                    </w:rPr>
                    <w:t>m</w:t>
                  </w:r>
                  <w:r>
                    <w:rPr>
                      <w:rFonts w:hint="eastAsia" w:ascii="Times New Roman" w:hAnsi="Times New Roman" w:cs="Times New Roman"/>
                      <w:color w:val="auto"/>
                      <w:kern w:val="0"/>
                      <w:sz w:val="21"/>
                      <w:szCs w:val="21"/>
                    </w:rPr>
                    <w:t>烟囱</w:t>
                  </w:r>
                </w:p>
              </w:tc>
              <w:tc>
                <w:tcPr>
                  <w:tcW w:w="2564" w:type="dxa"/>
                  <w:vAlign w:val="center"/>
                </w:tcPr>
                <w:p>
                  <w:pPr>
                    <w:adjustRightInd w:val="0"/>
                    <w:snapToGrid w:val="0"/>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kern w:val="0"/>
                      <w:sz w:val="21"/>
                      <w:szCs w:val="21"/>
                    </w:rPr>
                    <w:t>TSP、SO</w:t>
                  </w:r>
                  <w:r>
                    <w:rPr>
                      <w:rFonts w:hint="eastAsia" w:ascii="Times New Roman" w:hAnsi="Times New Roman" w:cs="Times New Roman"/>
                      <w:color w:val="auto"/>
                      <w:kern w:val="0"/>
                      <w:sz w:val="21"/>
                      <w:szCs w:val="21"/>
                      <w:vertAlign w:val="subscript"/>
                    </w:rPr>
                    <w:t>2</w:t>
                  </w:r>
                  <w:r>
                    <w:rPr>
                      <w:rFonts w:hint="eastAsia" w:ascii="Times New Roman" w:hAnsi="Times New Roman" w:cs="Times New Roman"/>
                      <w:color w:val="auto"/>
                      <w:kern w:val="0"/>
                      <w:sz w:val="21"/>
                      <w:szCs w:val="21"/>
                    </w:rPr>
                    <w:t>、NO</w:t>
                  </w:r>
                  <w:r>
                    <w:rPr>
                      <w:rFonts w:hint="eastAsia" w:ascii="Times New Roman" w:hAnsi="Times New Roman" w:cs="Times New Roman"/>
                      <w:color w:val="auto"/>
                      <w:kern w:val="0"/>
                      <w:sz w:val="21"/>
                      <w:szCs w:val="21"/>
                      <w:vertAlign w:val="subscript"/>
                    </w:rPr>
                    <w:t>X</w:t>
                  </w:r>
                </w:p>
              </w:tc>
              <w:tc>
                <w:tcPr>
                  <w:tcW w:w="2565" w:type="dxa"/>
                  <w:vAlign w:val="center"/>
                </w:tcPr>
                <w:p>
                  <w:pPr>
                    <w:adjustRightInd w:val="0"/>
                    <w:snapToGri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一季度一次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Align w:val="center"/>
                </w:tcPr>
                <w:p>
                  <w:pPr>
                    <w:adjustRightInd w:val="0"/>
                    <w:snapToGrid w:val="0"/>
                    <w:spacing w:line="240" w:lineRule="auto"/>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噪声</w:t>
                  </w:r>
                </w:p>
              </w:tc>
              <w:tc>
                <w:tcPr>
                  <w:tcW w:w="2566" w:type="dxa"/>
                  <w:vAlign w:val="center"/>
                </w:tcPr>
                <w:p>
                  <w:pPr>
                    <w:adjustRightInd w:val="0"/>
                    <w:snapToGrid w:val="0"/>
                    <w:spacing w:line="240" w:lineRule="auto"/>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厂界</w:t>
                  </w:r>
                </w:p>
              </w:tc>
              <w:tc>
                <w:tcPr>
                  <w:tcW w:w="2564" w:type="dxa"/>
                  <w:vAlign w:val="center"/>
                </w:tcPr>
                <w:p>
                  <w:pPr>
                    <w:adjustRightInd w:val="0"/>
                    <w:snapToGrid w:val="0"/>
                    <w:spacing w:line="240" w:lineRule="auto"/>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连续等效A声级</w:t>
                  </w:r>
                </w:p>
              </w:tc>
              <w:tc>
                <w:tcPr>
                  <w:tcW w:w="2565" w:type="dxa"/>
                  <w:vAlign w:val="center"/>
                </w:tcPr>
                <w:p>
                  <w:pPr>
                    <w:adjustRightInd w:val="0"/>
                    <w:snapToGrid w:val="0"/>
                    <w:spacing w:line="240" w:lineRule="auto"/>
                    <w:jc w:val="center"/>
                    <w:rPr>
                      <w:rFonts w:ascii="Times New Roman" w:hAnsi="Times New Roman" w:cs="Times New Roman"/>
                      <w:color w:val="auto"/>
                      <w:kern w:val="0"/>
                      <w:sz w:val="21"/>
                      <w:szCs w:val="21"/>
                    </w:rPr>
                  </w:pPr>
                  <w:r>
                    <w:rPr>
                      <w:rFonts w:ascii="Times New Roman" w:hAnsi="Times New Roman" w:cs="Times New Roman"/>
                      <w:color w:val="auto"/>
                      <w:kern w:val="0"/>
                      <w:sz w:val="21"/>
                      <w:szCs w:val="21"/>
                    </w:rPr>
                    <w:t>半年一次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Align w:val="center"/>
                </w:tcPr>
                <w:p>
                  <w:pPr>
                    <w:adjustRightInd w:val="0"/>
                    <w:snapToGrid w:val="0"/>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kern w:val="0"/>
                      <w:sz w:val="21"/>
                      <w:szCs w:val="21"/>
                    </w:rPr>
                    <w:t>水</w:t>
                  </w:r>
                </w:p>
              </w:tc>
              <w:tc>
                <w:tcPr>
                  <w:tcW w:w="2566" w:type="dxa"/>
                  <w:vAlign w:val="center"/>
                </w:tcPr>
                <w:p>
                  <w:pPr>
                    <w:adjustRightInd w:val="0"/>
                    <w:snapToGrid w:val="0"/>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kern w:val="0"/>
                      <w:sz w:val="21"/>
                      <w:szCs w:val="21"/>
                    </w:rPr>
                    <w:t>废水总排口</w:t>
                  </w:r>
                </w:p>
              </w:tc>
              <w:tc>
                <w:tcPr>
                  <w:tcW w:w="2564" w:type="dxa"/>
                  <w:vAlign w:val="center"/>
                </w:tcPr>
                <w:p>
                  <w:pPr>
                    <w:adjustRightInd w:val="0"/>
                    <w:snapToGrid w:val="0"/>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kern w:val="0"/>
                      <w:sz w:val="21"/>
                      <w:szCs w:val="21"/>
                    </w:rPr>
                    <w:t>CODcr、NH</w:t>
                  </w:r>
                  <w:r>
                    <w:rPr>
                      <w:rFonts w:hint="eastAsia" w:ascii="Times New Roman" w:hAnsi="Times New Roman" w:cs="Times New Roman"/>
                      <w:color w:val="auto"/>
                      <w:kern w:val="0"/>
                      <w:sz w:val="21"/>
                      <w:szCs w:val="21"/>
                      <w:vertAlign w:val="subscript"/>
                    </w:rPr>
                    <w:t>3</w:t>
                  </w:r>
                  <w:r>
                    <w:rPr>
                      <w:rFonts w:hint="eastAsia" w:ascii="Times New Roman" w:hAnsi="Times New Roman" w:cs="Times New Roman"/>
                      <w:color w:val="auto"/>
                      <w:kern w:val="0"/>
                      <w:sz w:val="21"/>
                      <w:szCs w:val="21"/>
                    </w:rPr>
                    <w:t>-N、SS</w:t>
                  </w:r>
                </w:p>
              </w:tc>
              <w:tc>
                <w:tcPr>
                  <w:tcW w:w="2565" w:type="dxa"/>
                  <w:vAlign w:val="center"/>
                </w:tcPr>
                <w:p>
                  <w:pPr>
                    <w:adjustRightInd w:val="0"/>
                    <w:snapToGrid w:val="0"/>
                    <w:spacing w:line="240" w:lineRule="auto"/>
                    <w:jc w:val="center"/>
                    <w:rPr>
                      <w:rFonts w:ascii="Times New Roman" w:hAnsi="Times New Roman" w:cs="Times New Roman"/>
                      <w:color w:val="auto"/>
                      <w:kern w:val="0"/>
                      <w:sz w:val="21"/>
                      <w:szCs w:val="21"/>
                    </w:rPr>
                  </w:pPr>
                  <w:r>
                    <w:rPr>
                      <w:rFonts w:hint="eastAsia" w:ascii="Times New Roman" w:hAnsi="Times New Roman" w:cs="Times New Roman"/>
                      <w:color w:val="auto"/>
                      <w:kern w:val="0"/>
                      <w:sz w:val="21"/>
                      <w:szCs w:val="21"/>
                    </w:rPr>
                    <w:t>一季度一次</w:t>
                  </w:r>
                </w:p>
              </w:tc>
            </w:tr>
          </w:tbl>
          <w:p>
            <w:pPr>
              <w:pStyle w:val="6"/>
              <w:ind w:firstLine="482"/>
              <w:outlineLvl w:val="2"/>
              <w:rPr>
                <w:color w:val="auto"/>
              </w:rPr>
            </w:pPr>
            <w:r>
              <w:rPr>
                <w:rFonts w:hint="eastAsia"/>
                <w:color w:val="auto"/>
              </w:rPr>
              <w:t>2.</w:t>
            </w:r>
            <w:r>
              <w:rPr>
                <w:color w:val="auto"/>
              </w:rPr>
              <w:t>9</w:t>
            </w:r>
            <w:r>
              <w:rPr>
                <w:rFonts w:hint="eastAsia"/>
                <w:color w:val="auto"/>
              </w:rPr>
              <w:t>环保投资估算</w:t>
            </w:r>
          </w:p>
          <w:p>
            <w:pPr>
              <w:ind w:firstLine="482"/>
              <w:rPr>
                <w:rFonts w:ascii="Times New Roman" w:hAnsi="Times New Roman" w:cs="Times New Roman"/>
                <w:color w:val="auto"/>
              </w:rPr>
            </w:pPr>
            <w:r>
              <w:rPr>
                <w:rFonts w:ascii="Times New Roman" w:hAnsi="Times New Roman" w:cs="Times New Roman"/>
                <w:color w:val="auto"/>
                <w:u w:val="single"/>
              </w:rPr>
              <w:t>项目总投资</w:t>
            </w:r>
            <w:r>
              <w:rPr>
                <w:rFonts w:hint="eastAsia" w:ascii="Times New Roman" w:hAnsi="Times New Roman" w:cs="Times New Roman"/>
                <w:color w:val="auto"/>
                <w:u w:val="single"/>
                <w:lang w:val="en-US" w:eastAsia="zh-CN"/>
              </w:rPr>
              <w:t>29</w:t>
            </w:r>
            <w:r>
              <w:rPr>
                <w:rFonts w:hint="eastAsia" w:ascii="Times New Roman" w:hAnsi="Times New Roman" w:cs="Times New Roman"/>
                <w:color w:val="auto"/>
                <w:u w:val="single"/>
              </w:rPr>
              <w:t>8</w:t>
            </w:r>
            <w:r>
              <w:rPr>
                <w:rFonts w:ascii="Times New Roman" w:hAnsi="Times New Roman" w:cs="Times New Roman"/>
                <w:color w:val="auto"/>
                <w:u w:val="single"/>
              </w:rPr>
              <w:t>万，环保投资估算</w:t>
            </w:r>
            <w:r>
              <w:rPr>
                <w:rFonts w:hint="eastAsia" w:ascii="Times New Roman" w:hAnsi="Times New Roman" w:cs="Times New Roman"/>
                <w:color w:val="auto"/>
                <w:u w:val="single"/>
                <w:lang w:val="en-US" w:eastAsia="zh-CN"/>
              </w:rPr>
              <w:t>35.82</w:t>
            </w:r>
            <w:r>
              <w:rPr>
                <w:rFonts w:ascii="Times New Roman" w:hAnsi="Times New Roman" w:cs="Times New Roman"/>
                <w:color w:val="auto"/>
                <w:u w:val="single"/>
              </w:rPr>
              <w:t>万元，占项目投资的</w:t>
            </w:r>
            <w:r>
              <w:rPr>
                <w:rFonts w:hint="eastAsia" w:ascii="Times New Roman" w:hAnsi="Times New Roman" w:cs="Times New Roman"/>
                <w:color w:val="auto"/>
                <w:u w:val="single"/>
                <w:lang w:val="en-US" w:eastAsia="zh-CN"/>
              </w:rPr>
              <w:t>12.02</w:t>
            </w:r>
            <w:r>
              <w:rPr>
                <w:rFonts w:ascii="Times New Roman" w:hAnsi="Times New Roman" w:cs="Times New Roman"/>
                <w:color w:val="auto"/>
                <w:u w:val="single"/>
              </w:rPr>
              <w:t>%。建设单位必须打足环保设施费用，确保各项环保措施得以全面贯彻。项目环保措施汇总及环保投资估算情况如下表所示</w:t>
            </w:r>
            <w:r>
              <w:rPr>
                <w:rFonts w:hint="eastAsia" w:ascii="Times New Roman" w:hAnsi="Times New Roman" w:cs="Times New Roman"/>
                <w:color w:val="auto"/>
                <w:u w:val="single"/>
              </w:rPr>
              <w:t>：</w:t>
            </w:r>
          </w:p>
          <w:p>
            <w:pPr>
              <w:spacing w:line="360" w:lineRule="auto"/>
              <w:jc w:val="center"/>
              <w:rPr>
                <w:rFonts w:ascii="Times New Roman" w:hAnsi="Times New Roman" w:cs="Times New Roman"/>
                <w:b/>
                <w:bCs/>
                <w:color w:val="auto"/>
              </w:rPr>
            </w:pPr>
            <w:r>
              <w:rPr>
                <w:rFonts w:ascii="Times New Roman" w:hAnsi="Times New Roman" w:cs="Times New Roman"/>
                <w:b/>
                <w:bCs/>
                <w:color w:val="auto"/>
              </w:rPr>
              <w:t>表7-</w:t>
            </w:r>
            <w:r>
              <w:rPr>
                <w:rFonts w:hint="eastAsia" w:ascii="Times New Roman" w:hAnsi="Times New Roman" w:cs="Times New Roman"/>
                <w:b/>
                <w:bCs/>
                <w:color w:val="auto"/>
              </w:rPr>
              <w:t>1</w:t>
            </w:r>
            <w:r>
              <w:rPr>
                <w:rFonts w:hint="eastAsia" w:ascii="Times New Roman" w:hAnsi="Times New Roman" w:cs="Times New Roman"/>
                <w:b/>
                <w:bCs/>
                <w:color w:val="auto"/>
                <w:lang w:val="en-US" w:eastAsia="zh-CN"/>
              </w:rPr>
              <w:t>5</w:t>
            </w:r>
            <w:r>
              <w:rPr>
                <w:rFonts w:ascii="Times New Roman" w:hAnsi="Times New Roman" w:cs="Times New Roman"/>
                <w:b/>
                <w:bCs/>
                <w:color w:val="auto"/>
              </w:rPr>
              <w:t xml:space="preserve">  环保措施汇总及环保投资估算一览表</w:t>
            </w:r>
          </w:p>
          <w:tbl>
            <w:tblPr>
              <w:tblStyle w:val="18"/>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88"/>
              <w:gridCol w:w="1707"/>
              <w:gridCol w:w="5340"/>
              <w:gridCol w:w="153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69"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u w:val="single"/>
                    </w:rPr>
                  </w:pPr>
                  <w:r>
                    <w:rPr>
                      <w:rFonts w:ascii="Times New Roman" w:hAnsi="Times New Roman" w:cs="Times New Roman"/>
                      <w:b/>
                      <w:bCs/>
                      <w:color w:val="auto"/>
                      <w:sz w:val="21"/>
                      <w:szCs w:val="21"/>
                      <w:u w:val="single"/>
                    </w:rPr>
                    <w:t>时段</w:t>
                  </w:r>
                </w:p>
              </w:tc>
              <w:tc>
                <w:tcPr>
                  <w:tcW w:w="941"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u w:val="single"/>
                    </w:rPr>
                  </w:pPr>
                  <w:r>
                    <w:rPr>
                      <w:rFonts w:ascii="Times New Roman" w:hAnsi="Times New Roman" w:cs="Times New Roman"/>
                      <w:b/>
                      <w:bCs/>
                      <w:color w:val="auto"/>
                      <w:sz w:val="21"/>
                      <w:szCs w:val="21"/>
                      <w:u w:val="single"/>
                    </w:rPr>
                    <w:t>类别</w:t>
                  </w:r>
                </w:p>
              </w:tc>
              <w:tc>
                <w:tcPr>
                  <w:tcW w:w="2943"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u w:val="single"/>
                    </w:rPr>
                  </w:pPr>
                  <w:r>
                    <w:rPr>
                      <w:rFonts w:ascii="Times New Roman" w:hAnsi="Times New Roman" w:cs="Times New Roman"/>
                      <w:b/>
                      <w:bCs/>
                      <w:color w:val="auto"/>
                      <w:sz w:val="21"/>
                      <w:szCs w:val="21"/>
                      <w:u w:val="single"/>
                    </w:rPr>
                    <w:t>治理措施</w:t>
                  </w:r>
                </w:p>
              </w:tc>
              <w:tc>
                <w:tcPr>
                  <w:tcW w:w="846" w:type="pct"/>
                  <w:tcBorders>
                    <w:bottom w:val="single" w:color="auto" w:sz="12" w:space="0"/>
                  </w:tcBorders>
                  <w:vAlign w:val="center"/>
                </w:tcPr>
                <w:p>
                  <w:pPr>
                    <w:spacing w:line="240" w:lineRule="auto"/>
                    <w:jc w:val="center"/>
                    <w:rPr>
                      <w:rFonts w:ascii="Times New Roman" w:hAnsi="Times New Roman" w:cs="Times New Roman"/>
                      <w:b/>
                      <w:bCs/>
                      <w:color w:val="auto"/>
                      <w:sz w:val="21"/>
                      <w:szCs w:val="21"/>
                      <w:u w:val="single"/>
                    </w:rPr>
                  </w:pPr>
                  <w:r>
                    <w:rPr>
                      <w:rFonts w:ascii="Times New Roman" w:hAnsi="Times New Roman" w:cs="Times New Roman"/>
                      <w:b/>
                      <w:bCs/>
                      <w:color w:val="auto"/>
                      <w:sz w:val="21"/>
                      <w:szCs w:val="21"/>
                      <w:u w:val="single"/>
                    </w:rPr>
                    <w:t>估算投资</w:t>
                  </w:r>
                </w:p>
                <w:p>
                  <w:pPr>
                    <w:spacing w:line="240" w:lineRule="auto"/>
                    <w:jc w:val="center"/>
                    <w:rPr>
                      <w:rFonts w:ascii="Times New Roman" w:hAnsi="Times New Roman" w:cs="Times New Roman"/>
                      <w:b/>
                      <w:bCs/>
                      <w:color w:val="auto"/>
                      <w:sz w:val="21"/>
                      <w:szCs w:val="21"/>
                      <w:u w:val="single"/>
                    </w:rPr>
                  </w:pPr>
                  <w:r>
                    <w:rPr>
                      <w:rFonts w:ascii="Times New Roman" w:hAnsi="Times New Roman" w:cs="Times New Roman"/>
                      <w:b/>
                      <w:bCs/>
                      <w:color w:val="auto"/>
                      <w:sz w:val="21"/>
                      <w:szCs w:val="21"/>
                      <w:u w:val="single"/>
                    </w:rPr>
                    <w:t>（万元）</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69" w:type="pct"/>
                  <w:vMerge w:val="restar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施工期</w:t>
                  </w:r>
                </w:p>
              </w:tc>
              <w:tc>
                <w:tcPr>
                  <w:tcW w:w="941"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废气防护</w:t>
                  </w:r>
                </w:p>
              </w:tc>
              <w:tc>
                <w:tcPr>
                  <w:tcW w:w="2943" w:type="pct"/>
                  <w:tcBorders>
                    <w:top w:val="single" w:color="auto" w:sz="12" w:space="0"/>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加强施工期管理</w:t>
                  </w:r>
                </w:p>
              </w:tc>
              <w:tc>
                <w:tcPr>
                  <w:tcW w:w="846" w:type="pct"/>
                  <w:vMerge w:val="restart"/>
                  <w:tcBorders>
                    <w:top w:val="single" w:color="auto" w:sz="12" w:space="0"/>
                    <w:tl2br w:val="nil"/>
                    <w:tr2bl w:val="nil"/>
                  </w:tcBorders>
                  <w:vAlign w:val="center"/>
                </w:tcPr>
                <w:p>
                  <w:pPr>
                    <w:spacing w:line="240" w:lineRule="auto"/>
                    <w:jc w:val="center"/>
                    <w:rPr>
                      <w:rFonts w:hint="eastAsia" w:ascii="Times New Roman" w:hAnsi="Times New Roman" w:cs="Times New Roman" w:eastAsiaTheme="minorEastAsia"/>
                      <w:color w:val="auto"/>
                      <w:sz w:val="21"/>
                      <w:szCs w:val="21"/>
                      <w:u w:val="single"/>
                      <w:lang w:eastAsia="zh-CN"/>
                    </w:rPr>
                  </w:pPr>
                  <w:r>
                    <w:rPr>
                      <w:rFonts w:hint="eastAsia" w:ascii="Times New Roman" w:hAnsi="Times New Roman" w:cs="Times New Roman"/>
                      <w:color w:val="auto"/>
                      <w:sz w:val="21"/>
                      <w:szCs w:val="21"/>
                      <w:u w:val="single"/>
                      <w:lang w:val="en-US" w:eastAsia="zh-CN"/>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6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u w:val="single"/>
                    </w:rPr>
                  </w:pPr>
                </w:p>
              </w:tc>
              <w:tc>
                <w:tcPr>
                  <w:tcW w:w="941"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噪声防治</w:t>
                  </w:r>
                </w:p>
              </w:tc>
              <w:tc>
                <w:tcPr>
                  <w:tcW w:w="2943"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禁止改造声源夜间施工</w:t>
                  </w:r>
                </w:p>
              </w:tc>
              <w:tc>
                <w:tcPr>
                  <w:tcW w:w="846"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u w:val="singl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26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u w:val="single"/>
                    </w:rPr>
                  </w:pPr>
                </w:p>
              </w:tc>
              <w:tc>
                <w:tcPr>
                  <w:tcW w:w="941"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施工废水</w:t>
                  </w:r>
                </w:p>
              </w:tc>
              <w:tc>
                <w:tcPr>
                  <w:tcW w:w="2943" w:type="pct"/>
                  <w:tcBorders>
                    <w:tl2br w:val="nil"/>
                    <w:tr2bl w:val="nil"/>
                  </w:tcBorders>
                  <w:vAlign w:val="center"/>
                </w:tcPr>
                <w:p>
                  <w:pPr>
                    <w:spacing w:line="240" w:lineRule="auto"/>
                    <w:jc w:val="center"/>
                    <w:rPr>
                      <w:rFonts w:ascii="Times New Roman" w:hAnsi="Times New Roman" w:cs="Times New Roman"/>
                      <w:color w:val="auto"/>
                      <w:sz w:val="21"/>
                      <w:szCs w:val="21"/>
                      <w:highlight w:val="none"/>
                      <w:u w:val="single"/>
                    </w:rPr>
                  </w:pPr>
                  <w:r>
                    <w:rPr>
                      <w:rFonts w:ascii="Times New Roman" w:hAnsi="Times New Roman" w:cs="Times New Roman"/>
                      <w:color w:val="auto"/>
                      <w:sz w:val="21"/>
                      <w:szCs w:val="21"/>
                      <w:highlight w:val="none"/>
                      <w:u w:val="single"/>
                    </w:rPr>
                    <w:t>生活污水经化粪池处理后</w:t>
                  </w:r>
                  <w:r>
                    <w:rPr>
                      <w:rFonts w:hint="eastAsia" w:ascii="Times New Roman" w:hAnsi="Times New Roman" w:cs="Times New Roman"/>
                      <w:color w:val="auto"/>
                      <w:sz w:val="21"/>
                      <w:szCs w:val="21"/>
                      <w:highlight w:val="none"/>
                      <w:u w:val="single"/>
                    </w:rPr>
                    <w:t>经由市政管网进入罗家坡污水处理厂</w:t>
                  </w:r>
                </w:p>
              </w:tc>
              <w:tc>
                <w:tcPr>
                  <w:tcW w:w="846"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u w:val="singl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6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u w:val="single"/>
                    </w:rPr>
                  </w:pPr>
                </w:p>
              </w:tc>
              <w:tc>
                <w:tcPr>
                  <w:tcW w:w="941"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施工固废</w:t>
                  </w:r>
                </w:p>
              </w:tc>
              <w:tc>
                <w:tcPr>
                  <w:tcW w:w="2943"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建筑垃圾及时清运，生活垃圾交由环保部门统一处理</w:t>
                  </w:r>
                </w:p>
              </w:tc>
              <w:tc>
                <w:tcPr>
                  <w:tcW w:w="846"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u w:val="singl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69" w:type="pct"/>
                  <w:vMerge w:val="restar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营运期</w:t>
                  </w:r>
                </w:p>
              </w:tc>
              <w:tc>
                <w:tcPr>
                  <w:tcW w:w="941"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rPr>
                    <w:t>锅炉</w:t>
                  </w:r>
                  <w:r>
                    <w:rPr>
                      <w:rFonts w:ascii="Times New Roman" w:hAnsi="Times New Roman" w:cs="Times New Roman"/>
                      <w:color w:val="auto"/>
                      <w:sz w:val="21"/>
                      <w:szCs w:val="21"/>
                      <w:u w:val="single"/>
                    </w:rPr>
                    <w:t>废气</w:t>
                  </w:r>
                </w:p>
              </w:tc>
              <w:tc>
                <w:tcPr>
                  <w:tcW w:w="2943"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rPr>
                    <w:t>分体式低氮燃烧器+烟气再循环技术+2</w:t>
                  </w:r>
                  <w:r>
                    <w:rPr>
                      <w:rFonts w:hint="eastAsia" w:ascii="Times New Roman" w:hAnsi="Times New Roman" w:cs="Times New Roman"/>
                      <w:color w:val="auto"/>
                      <w:sz w:val="21"/>
                      <w:szCs w:val="21"/>
                      <w:u w:val="single"/>
                      <w:lang w:val="en-US" w:eastAsia="zh-CN"/>
                    </w:rPr>
                    <w:t>3</w:t>
                  </w:r>
                  <w:r>
                    <w:rPr>
                      <w:rFonts w:hint="eastAsia" w:ascii="Times New Roman" w:hAnsi="Times New Roman" w:cs="Times New Roman"/>
                      <w:color w:val="auto"/>
                      <w:sz w:val="21"/>
                      <w:szCs w:val="21"/>
                      <w:u w:val="single"/>
                    </w:rPr>
                    <w:t>m排气筒</w:t>
                  </w:r>
                </w:p>
              </w:tc>
              <w:tc>
                <w:tcPr>
                  <w:tcW w:w="846"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rPr>
                    <w:t>34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6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u w:val="single"/>
                    </w:rPr>
                  </w:pPr>
                </w:p>
              </w:tc>
              <w:tc>
                <w:tcPr>
                  <w:tcW w:w="941" w:type="pct"/>
                  <w:vMerge w:val="restar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rPr>
                    <w:t>废水</w:t>
                  </w:r>
                </w:p>
              </w:tc>
              <w:tc>
                <w:tcPr>
                  <w:tcW w:w="2943" w:type="pct"/>
                  <w:tcBorders>
                    <w:tl2br w:val="nil"/>
                    <w:tr2bl w:val="nil"/>
                  </w:tcBorders>
                  <w:vAlign w:val="center"/>
                </w:tcPr>
                <w:p>
                  <w:pPr>
                    <w:spacing w:line="240" w:lineRule="auto"/>
                    <w:jc w:val="center"/>
                    <w:rPr>
                      <w:rFonts w:hint="eastAsia" w:ascii="Times New Roman" w:hAnsi="Times New Roman" w:cs="Times New Roman" w:eastAsiaTheme="minorEastAsia"/>
                      <w:color w:val="auto"/>
                      <w:sz w:val="21"/>
                      <w:szCs w:val="21"/>
                      <w:u w:val="single"/>
                      <w:lang w:val="en-US" w:eastAsia="zh-CN"/>
                    </w:rPr>
                  </w:pPr>
                  <w:r>
                    <w:rPr>
                      <w:rFonts w:hint="eastAsia" w:ascii="Times New Roman" w:hAnsi="Times New Roman" w:cs="Times New Roman"/>
                      <w:color w:val="auto"/>
                      <w:sz w:val="21"/>
                      <w:szCs w:val="21"/>
                      <w:u w:val="single"/>
                      <w:lang w:eastAsia="zh-CN"/>
                    </w:rPr>
                    <w:t>排污降温池</w:t>
                  </w:r>
                  <w:r>
                    <w:rPr>
                      <w:rFonts w:hint="eastAsia" w:ascii="Times New Roman" w:hAnsi="Times New Roman" w:cs="Times New Roman"/>
                      <w:color w:val="auto"/>
                      <w:sz w:val="21"/>
                      <w:szCs w:val="21"/>
                      <w:u w:val="single"/>
                      <w:lang w:val="en-US" w:eastAsia="zh-CN"/>
                    </w:rPr>
                    <w:t>+</w:t>
                  </w:r>
                  <w:r>
                    <w:rPr>
                      <w:rFonts w:hint="eastAsia" w:ascii="Times New Roman" w:hAnsi="Times New Roman" w:cs="Times New Roman"/>
                      <w:color w:val="auto"/>
                      <w:sz w:val="21"/>
                      <w:szCs w:val="21"/>
                      <w:u w:val="single"/>
                    </w:rPr>
                    <w:t>污水处理站（气浮+接触氧化工艺）+罗家坡污水处理厂</w:t>
                  </w:r>
                  <w:r>
                    <w:rPr>
                      <w:rFonts w:hint="eastAsia" w:ascii="Times New Roman" w:hAnsi="Times New Roman" w:cs="Times New Roman"/>
                      <w:color w:val="auto"/>
                      <w:sz w:val="21"/>
                      <w:szCs w:val="21"/>
                      <w:u w:val="single"/>
                      <w:lang w:val="en-US" w:eastAsia="zh-CN"/>
                    </w:rPr>
                    <w:t>,</w:t>
                  </w:r>
                </w:p>
              </w:tc>
              <w:tc>
                <w:tcPr>
                  <w:tcW w:w="846"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rPr>
                    <w:t>依托现有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6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u w:val="single"/>
                    </w:rPr>
                  </w:pPr>
                </w:p>
              </w:tc>
              <w:tc>
                <w:tcPr>
                  <w:tcW w:w="941" w:type="pct"/>
                  <w:vMerge w:val="continue"/>
                  <w:tcBorders>
                    <w:tl2br w:val="nil"/>
                    <w:tr2bl w:val="nil"/>
                  </w:tcBorders>
                  <w:vAlign w:val="center"/>
                </w:tcPr>
                <w:p>
                  <w:pPr>
                    <w:spacing w:line="240" w:lineRule="auto"/>
                    <w:jc w:val="center"/>
                    <w:rPr>
                      <w:rFonts w:hint="eastAsia" w:ascii="Times New Roman" w:hAnsi="Times New Roman" w:cs="Times New Roman"/>
                      <w:color w:val="auto"/>
                      <w:sz w:val="21"/>
                      <w:szCs w:val="21"/>
                      <w:u w:val="single"/>
                    </w:rPr>
                  </w:pPr>
                </w:p>
              </w:tc>
              <w:tc>
                <w:tcPr>
                  <w:tcW w:w="2943" w:type="pct"/>
                  <w:tcBorders>
                    <w:tl2br w:val="nil"/>
                    <w:tr2bl w:val="nil"/>
                  </w:tcBorders>
                  <w:vAlign w:val="center"/>
                </w:tcPr>
                <w:p>
                  <w:pPr>
                    <w:spacing w:line="240" w:lineRule="auto"/>
                    <w:jc w:val="center"/>
                    <w:rPr>
                      <w:rFonts w:hint="eastAsia" w:ascii="Times New Roman" w:hAnsi="Times New Roman" w:cs="Times New Roman"/>
                      <w:color w:val="auto"/>
                      <w:sz w:val="21"/>
                      <w:szCs w:val="21"/>
                      <w:u w:val="single"/>
                      <w:lang w:eastAsia="zh-CN"/>
                    </w:rPr>
                  </w:pPr>
                  <w:r>
                    <w:rPr>
                      <w:rFonts w:hint="eastAsia" w:ascii="Times New Roman" w:hAnsi="Times New Roman" w:cs="Times New Roman"/>
                      <w:color w:val="auto"/>
                      <w:sz w:val="21"/>
                      <w:szCs w:val="21"/>
                      <w:u w:val="single"/>
                      <w:lang w:eastAsia="zh-CN"/>
                    </w:rPr>
                    <w:t>定期投撒除臭剂</w:t>
                  </w:r>
                </w:p>
              </w:tc>
              <w:tc>
                <w:tcPr>
                  <w:tcW w:w="846" w:type="pct"/>
                  <w:tcBorders>
                    <w:tl2br w:val="nil"/>
                    <w:tr2bl w:val="nil"/>
                  </w:tcBorders>
                  <w:vAlign w:val="center"/>
                </w:tcPr>
                <w:p>
                  <w:pPr>
                    <w:spacing w:line="240" w:lineRule="auto"/>
                    <w:jc w:val="center"/>
                    <w:rPr>
                      <w:rFonts w:hint="default" w:ascii="Times New Roman" w:hAnsi="Times New Roman" w:cs="Times New Roman" w:eastAsiaTheme="minorEastAsia"/>
                      <w:color w:val="auto"/>
                      <w:sz w:val="21"/>
                      <w:szCs w:val="21"/>
                      <w:u w:val="single"/>
                      <w:lang w:val="en-US" w:eastAsia="zh-CN"/>
                    </w:rPr>
                  </w:pPr>
                  <w:r>
                    <w:rPr>
                      <w:rFonts w:hint="eastAsia" w:ascii="Times New Roman" w:hAnsi="Times New Roman" w:cs="Times New Roman"/>
                      <w:color w:val="auto"/>
                      <w:sz w:val="21"/>
                      <w:szCs w:val="21"/>
                      <w:u w:val="single"/>
                      <w:lang w:val="en-US" w:eastAsia="zh-CN"/>
                    </w:rPr>
                    <w:t>0.8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u w:val="single"/>
                    </w:rPr>
                  </w:pPr>
                </w:p>
              </w:tc>
              <w:tc>
                <w:tcPr>
                  <w:tcW w:w="941"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固废</w:t>
                  </w:r>
                </w:p>
              </w:tc>
              <w:tc>
                <w:tcPr>
                  <w:tcW w:w="2943" w:type="pct"/>
                  <w:tcBorders>
                    <w:tl2br w:val="nil"/>
                    <w:tr2bl w:val="nil"/>
                  </w:tcBorders>
                  <w:vAlign w:val="center"/>
                </w:tcPr>
                <w:p>
                  <w:pPr>
                    <w:spacing w:line="240" w:lineRule="auto"/>
                    <w:jc w:val="center"/>
                    <w:rPr>
                      <w:rFonts w:hint="eastAsia" w:ascii="Times New Roman" w:hAnsi="Times New Roman" w:cs="Times New Roman" w:eastAsiaTheme="minorEastAsia"/>
                      <w:color w:val="auto"/>
                      <w:sz w:val="21"/>
                      <w:szCs w:val="21"/>
                      <w:u w:val="single"/>
                      <w:lang w:eastAsia="zh-CN"/>
                    </w:rPr>
                  </w:pPr>
                  <w:r>
                    <w:rPr>
                      <w:rFonts w:hint="eastAsia" w:ascii="Times New Roman" w:hAnsi="Times New Roman" w:cs="Times New Roman"/>
                      <w:color w:val="auto"/>
                      <w:sz w:val="21"/>
                      <w:szCs w:val="21"/>
                      <w:u w:val="single"/>
                      <w:lang w:eastAsia="zh-CN"/>
                    </w:rPr>
                    <w:t>危废暂存间贴标示标牌</w:t>
                  </w:r>
                </w:p>
              </w:tc>
              <w:tc>
                <w:tcPr>
                  <w:tcW w:w="846" w:type="pct"/>
                  <w:tcBorders>
                    <w:tl2br w:val="nil"/>
                    <w:tr2bl w:val="nil"/>
                  </w:tcBorders>
                  <w:vAlign w:val="center"/>
                </w:tcPr>
                <w:p>
                  <w:pPr>
                    <w:spacing w:line="240" w:lineRule="auto"/>
                    <w:jc w:val="center"/>
                    <w:rPr>
                      <w:rFonts w:hint="default" w:ascii="Times New Roman" w:hAnsi="Times New Roman" w:cs="Times New Roman" w:eastAsiaTheme="minorEastAsia"/>
                      <w:color w:val="auto"/>
                      <w:sz w:val="21"/>
                      <w:szCs w:val="21"/>
                      <w:u w:val="single"/>
                      <w:lang w:val="en-US" w:eastAsia="zh-CN"/>
                    </w:rPr>
                  </w:pPr>
                  <w:r>
                    <w:rPr>
                      <w:rFonts w:hint="eastAsia" w:ascii="Times New Roman" w:hAnsi="Times New Roman" w:cs="Times New Roman"/>
                      <w:color w:val="auto"/>
                      <w:sz w:val="21"/>
                      <w:szCs w:val="21"/>
                      <w:u w:val="single"/>
                      <w:lang w:val="en-US" w:eastAsia="zh-CN"/>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6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u w:val="single"/>
                    </w:rPr>
                  </w:pPr>
                </w:p>
              </w:tc>
              <w:tc>
                <w:tcPr>
                  <w:tcW w:w="941"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噪声</w:t>
                  </w:r>
                </w:p>
              </w:tc>
              <w:tc>
                <w:tcPr>
                  <w:tcW w:w="2943"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距离衰减、</w:t>
                  </w:r>
                  <w:r>
                    <w:rPr>
                      <w:rFonts w:hint="eastAsia" w:ascii="Times New Roman" w:hAnsi="Times New Roman" w:cs="Times New Roman"/>
                      <w:color w:val="auto"/>
                      <w:sz w:val="21"/>
                      <w:szCs w:val="21"/>
                      <w:u w:val="single"/>
                      <w:lang w:eastAsia="zh-CN"/>
                    </w:rPr>
                    <w:t>安装减震垫</w:t>
                  </w:r>
                  <w:r>
                    <w:rPr>
                      <w:rFonts w:ascii="Times New Roman" w:hAnsi="Times New Roman" w:cs="Times New Roman"/>
                      <w:color w:val="auto"/>
                      <w:sz w:val="21"/>
                      <w:szCs w:val="21"/>
                      <w:u w:val="single"/>
                    </w:rPr>
                    <w:t>减震、厂房隔声</w:t>
                  </w:r>
                  <w:r>
                    <w:rPr>
                      <w:rFonts w:hint="eastAsia" w:ascii="Times New Roman" w:hAnsi="Times New Roman" w:cs="Times New Roman"/>
                      <w:color w:val="auto"/>
                      <w:sz w:val="21"/>
                      <w:szCs w:val="21"/>
                      <w:u w:val="single"/>
                    </w:rPr>
                    <w:t>等</w:t>
                  </w:r>
                </w:p>
              </w:tc>
              <w:tc>
                <w:tcPr>
                  <w:tcW w:w="846" w:type="pct"/>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153" w:type="pct"/>
                  <w:gridSpan w:val="3"/>
                  <w:tcBorders>
                    <w:tl2br w:val="nil"/>
                    <w:tr2bl w:val="nil"/>
                  </w:tcBorders>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rPr>
                    <w:t>合计</w:t>
                  </w:r>
                </w:p>
              </w:tc>
              <w:tc>
                <w:tcPr>
                  <w:tcW w:w="846" w:type="pct"/>
                  <w:tcBorders>
                    <w:tl2br w:val="nil"/>
                    <w:tr2bl w:val="nil"/>
                  </w:tcBorders>
                  <w:vAlign w:val="center"/>
                </w:tcPr>
                <w:p>
                  <w:pPr>
                    <w:spacing w:line="240" w:lineRule="auto"/>
                    <w:jc w:val="center"/>
                    <w:rPr>
                      <w:rFonts w:hint="default" w:ascii="Times New Roman" w:hAnsi="Times New Roman" w:cs="Times New Roman" w:eastAsiaTheme="minorEastAsia"/>
                      <w:color w:val="auto"/>
                      <w:sz w:val="21"/>
                      <w:szCs w:val="21"/>
                      <w:u w:val="single"/>
                      <w:lang w:val="en-US" w:eastAsia="zh-CN"/>
                    </w:rPr>
                  </w:pPr>
                  <w:r>
                    <w:rPr>
                      <w:rFonts w:hint="eastAsia" w:ascii="Times New Roman" w:hAnsi="Times New Roman" w:cs="Times New Roman"/>
                      <w:color w:val="auto"/>
                      <w:sz w:val="21"/>
                      <w:szCs w:val="21"/>
                      <w:u w:val="single"/>
                      <w:lang w:val="en-US" w:eastAsia="zh-CN"/>
                    </w:rPr>
                    <w:t>35.82</w:t>
                  </w:r>
                </w:p>
              </w:tc>
            </w:tr>
          </w:tbl>
          <w:p>
            <w:pPr>
              <w:pStyle w:val="6"/>
              <w:ind w:firstLine="482"/>
              <w:outlineLvl w:val="2"/>
              <w:rPr>
                <w:color w:val="auto"/>
              </w:rPr>
            </w:pPr>
            <w:r>
              <w:rPr>
                <w:rFonts w:hint="eastAsia"/>
                <w:color w:val="auto"/>
              </w:rPr>
              <w:t>2.1</w:t>
            </w:r>
            <w:r>
              <w:rPr>
                <w:rFonts w:hint="eastAsia"/>
                <w:color w:val="auto"/>
                <w:lang w:val="en-US" w:eastAsia="zh-CN"/>
              </w:rPr>
              <w:t>0</w:t>
            </w:r>
            <w:r>
              <w:rPr>
                <w:color w:val="auto"/>
              </w:rPr>
              <w:t>“三同时”验收项目</w:t>
            </w:r>
          </w:p>
          <w:p>
            <w:pPr>
              <w:ind w:firstLine="480"/>
              <w:rPr>
                <w:rFonts w:ascii="Times New Roman" w:hAnsi="Times New Roman" w:cs="Times New Roman"/>
                <w:b/>
                <w:bCs/>
                <w:color w:val="auto"/>
              </w:rPr>
            </w:pPr>
            <w:r>
              <w:rPr>
                <w:rFonts w:ascii="Times New Roman" w:hAnsi="Times New Roman" w:cs="Times New Roman"/>
                <w:color w:val="auto"/>
              </w:rPr>
              <w:t>根据国家规定，所有企业在建设项目时，必须实行</w:t>
            </w:r>
            <w:r>
              <w:rPr>
                <w:rFonts w:hint="eastAsia" w:ascii="Times New Roman" w:hAnsi="Times New Roman" w:cs="Times New Roman"/>
                <w:color w:val="auto"/>
              </w:rPr>
              <w:t>“</w:t>
            </w:r>
            <w:r>
              <w:rPr>
                <w:rFonts w:ascii="Times New Roman" w:hAnsi="Times New Roman" w:cs="Times New Roman"/>
                <w:color w:val="auto"/>
              </w:rPr>
              <w:t>三同时</w:t>
            </w:r>
            <w:r>
              <w:rPr>
                <w:rFonts w:hint="eastAsia" w:ascii="Times New Roman" w:hAnsi="Times New Roman" w:cs="Times New Roman"/>
                <w:color w:val="auto"/>
              </w:rPr>
              <w:t>”</w:t>
            </w:r>
            <w:r>
              <w:rPr>
                <w:rFonts w:ascii="Times New Roman" w:hAnsi="Times New Roman" w:cs="Times New Roman"/>
                <w:color w:val="auto"/>
              </w:rPr>
              <w:t>原则，即建设项目与环境保护设施必须同时设计、同时施工、同时运行，详细内容见下表。</w:t>
            </w:r>
          </w:p>
          <w:p>
            <w:pPr>
              <w:spacing w:line="360" w:lineRule="auto"/>
              <w:jc w:val="center"/>
              <w:rPr>
                <w:rFonts w:ascii="Times New Roman" w:hAnsi="Times New Roman" w:cs="Times New Roman"/>
                <w:b/>
                <w:bCs/>
                <w:color w:val="auto"/>
                <w:u w:val="none"/>
              </w:rPr>
            </w:pPr>
            <w:r>
              <w:rPr>
                <w:rFonts w:ascii="Times New Roman" w:hAnsi="Times New Roman" w:cs="Times New Roman"/>
                <w:b/>
                <w:bCs/>
                <w:color w:val="auto"/>
                <w:u w:val="none"/>
              </w:rPr>
              <w:t>表7-</w:t>
            </w:r>
            <w:r>
              <w:rPr>
                <w:rFonts w:hint="eastAsia" w:ascii="Times New Roman" w:hAnsi="Times New Roman" w:cs="Times New Roman"/>
                <w:b/>
                <w:bCs/>
                <w:color w:val="auto"/>
                <w:u w:val="none"/>
              </w:rPr>
              <w:t>1</w:t>
            </w:r>
            <w:r>
              <w:rPr>
                <w:rFonts w:hint="eastAsia" w:ascii="Times New Roman" w:hAnsi="Times New Roman" w:cs="Times New Roman"/>
                <w:b/>
                <w:bCs/>
                <w:color w:val="auto"/>
                <w:u w:val="none"/>
                <w:lang w:val="en-US" w:eastAsia="zh-CN"/>
              </w:rPr>
              <w:t>6</w:t>
            </w:r>
            <w:r>
              <w:rPr>
                <w:rFonts w:ascii="Times New Roman" w:hAnsi="Times New Roman" w:cs="Times New Roman"/>
                <w:b/>
                <w:bCs/>
                <w:color w:val="auto"/>
                <w:u w:val="none"/>
              </w:rPr>
              <w:t xml:space="preserve">  项目环境保护“三同时”验收项目表</w:t>
            </w:r>
          </w:p>
          <w:tbl>
            <w:tblPr>
              <w:tblStyle w:val="17"/>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1380"/>
              <w:gridCol w:w="3136"/>
              <w:gridCol w:w="372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30"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u w:val="single"/>
                    </w:rPr>
                  </w:pPr>
                  <w:r>
                    <w:rPr>
                      <w:rFonts w:ascii="Times New Roman" w:hAnsi="Times New Roman" w:cs="Times New Roman"/>
                      <w:b/>
                      <w:bCs/>
                      <w:color w:val="auto"/>
                      <w:sz w:val="21"/>
                      <w:szCs w:val="21"/>
                      <w:u w:val="single"/>
                    </w:rPr>
                    <w:t>类别</w:t>
                  </w:r>
                </w:p>
              </w:tc>
              <w:tc>
                <w:tcPr>
                  <w:tcW w:w="1380"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u w:val="single"/>
                    </w:rPr>
                  </w:pPr>
                  <w:r>
                    <w:rPr>
                      <w:rFonts w:ascii="Times New Roman" w:hAnsi="Times New Roman" w:cs="Times New Roman"/>
                      <w:b/>
                      <w:bCs/>
                      <w:color w:val="auto"/>
                      <w:sz w:val="21"/>
                      <w:szCs w:val="21"/>
                      <w:u w:val="single"/>
                    </w:rPr>
                    <w:t>防治对象</w:t>
                  </w:r>
                </w:p>
              </w:tc>
              <w:tc>
                <w:tcPr>
                  <w:tcW w:w="3136"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u w:val="single"/>
                    </w:rPr>
                  </w:pPr>
                  <w:r>
                    <w:rPr>
                      <w:rFonts w:ascii="Times New Roman" w:hAnsi="Times New Roman" w:cs="Times New Roman"/>
                      <w:b/>
                      <w:bCs/>
                      <w:color w:val="auto"/>
                      <w:sz w:val="21"/>
                      <w:szCs w:val="21"/>
                      <w:u w:val="single"/>
                    </w:rPr>
                    <w:t>防治措施</w:t>
                  </w:r>
                </w:p>
              </w:tc>
              <w:tc>
                <w:tcPr>
                  <w:tcW w:w="3724" w:type="dxa"/>
                  <w:tcBorders>
                    <w:bottom w:val="single" w:color="auto" w:sz="12" w:space="0"/>
                  </w:tcBorders>
                  <w:vAlign w:val="center"/>
                </w:tcPr>
                <w:p>
                  <w:pPr>
                    <w:spacing w:line="240" w:lineRule="auto"/>
                    <w:jc w:val="center"/>
                    <w:rPr>
                      <w:rFonts w:ascii="Times New Roman" w:hAnsi="Times New Roman" w:cs="Times New Roman"/>
                      <w:b/>
                      <w:bCs/>
                      <w:color w:val="auto"/>
                      <w:sz w:val="21"/>
                      <w:szCs w:val="21"/>
                      <w:u w:val="single"/>
                    </w:rPr>
                  </w:pPr>
                  <w:r>
                    <w:rPr>
                      <w:rFonts w:ascii="Times New Roman" w:hAnsi="Times New Roman" w:cs="Times New Roman"/>
                      <w:b/>
                      <w:bCs/>
                      <w:color w:val="auto"/>
                      <w:sz w:val="21"/>
                      <w:szCs w:val="21"/>
                      <w:u w:val="single"/>
                    </w:rPr>
                    <w:t>验收标准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830" w:type="dxa"/>
                  <w:tcBorders>
                    <w:top w:val="single" w:color="auto" w:sz="12" w:space="0"/>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大气</w:t>
                  </w:r>
                </w:p>
              </w:tc>
              <w:tc>
                <w:tcPr>
                  <w:tcW w:w="1380" w:type="dxa"/>
                  <w:tcBorders>
                    <w:top w:val="single" w:color="auto" w:sz="12" w:space="0"/>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cs="Times New Roman"/>
                      <w:color w:val="auto"/>
                      <w:sz w:val="21"/>
                      <w:szCs w:val="21"/>
                      <w:u w:val="single"/>
                    </w:rPr>
                    <w:t>锅炉废气</w:t>
                  </w:r>
                </w:p>
              </w:tc>
              <w:tc>
                <w:tcPr>
                  <w:tcW w:w="3136" w:type="dxa"/>
                  <w:tcBorders>
                    <w:top w:val="single" w:color="auto" w:sz="12" w:space="0"/>
                  </w:tcBorders>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cs="Times New Roman"/>
                      <w:color w:val="auto"/>
                      <w:sz w:val="21"/>
                      <w:szCs w:val="21"/>
                      <w:u w:val="single"/>
                    </w:rPr>
                    <w:t>分体式低氮燃烧器+烟气再循环技术+2</w:t>
                  </w:r>
                  <w:r>
                    <w:rPr>
                      <w:rFonts w:hint="eastAsia" w:ascii="Times New Roman" w:hAnsi="Times New Roman" w:cs="Times New Roman"/>
                      <w:color w:val="auto"/>
                      <w:sz w:val="21"/>
                      <w:szCs w:val="21"/>
                      <w:u w:val="single"/>
                      <w:lang w:val="en-US" w:eastAsia="zh-CN"/>
                    </w:rPr>
                    <w:t>3</w:t>
                  </w:r>
                  <w:r>
                    <w:rPr>
                      <w:rFonts w:hint="eastAsia" w:ascii="Times New Roman" w:hAnsi="Times New Roman" w:cs="Times New Roman"/>
                      <w:color w:val="auto"/>
                      <w:sz w:val="21"/>
                      <w:szCs w:val="21"/>
                      <w:u w:val="single"/>
                    </w:rPr>
                    <w:t>m排气筒</w:t>
                  </w:r>
                </w:p>
              </w:tc>
              <w:tc>
                <w:tcPr>
                  <w:tcW w:w="3724" w:type="dxa"/>
                  <w:tcBorders>
                    <w:top w:val="single" w:color="auto" w:sz="12" w:space="0"/>
                  </w:tcBorders>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《锅炉大气污染物排放标准》（GB13271-2014）表</w:t>
                  </w:r>
                  <w:r>
                    <w:rPr>
                      <w:rFonts w:hint="eastAsia" w:ascii="Times New Roman" w:hAnsi="Times New Roman" w:cs="Times New Roman"/>
                      <w:color w:val="auto"/>
                      <w:sz w:val="21"/>
                      <w:szCs w:val="21"/>
                      <w:u w:val="single"/>
                    </w:rPr>
                    <w:t>3</w:t>
                  </w:r>
                  <w:r>
                    <w:rPr>
                      <w:rFonts w:ascii="Times New Roman" w:hAnsi="Times New Roman" w:cs="Times New Roman"/>
                      <w:color w:val="auto"/>
                      <w:sz w:val="21"/>
                      <w:szCs w:val="21"/>
                      <w:u w:val="single"/>
                    </w:rPr>
                    <w:t>中规定的大气污染物</w:t>
                  </w:r>
                  <w:r>
                    <w:rPr>
                      <w:rFonts w:hint="eastAsia" w:ascii="Times New Roman" w:hAnsi="Times New Roman" w:cs="Times New Roman"/>
                      <w:color w:val="auto"/>
                      <w:sz w:val="21"/>
                      <w:szCs w:val="21"/>
                      <w:u w:val="single"/>
                    </w:rPr>
                    <w:t>特别</w:t>
                  </w:r>
                  <w:r>
                    <w:rPr>
                      <w:rFonts w:ascii="Times New Roman" w:hAnsi="Times New Roman" w:cs="Times New Roman"/>
                      <w:color w:val="auto"/>
                      <w:sz w:val="21"/>
                      <w:szCs w:val="21"/>
                      <w:u w:val="single"/>
                    </w:rPr>
                    <w:t>排放限值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746" w:hRule="atLeast"/>
                <w:jc w:val="center"/>
              </w:trPr>
              <w:tc>
                <w:tcPr>
                  <w:tcW w:w="830" w:type="dxa"/>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废水</w:t>
                  </w:r>
                </w:p>
              </w:tc>
              <w:tc>
                <w:tcPr>
                  <w:tcW w:w="1380" w:type="dxa"/>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rPr>
                    <w:t>锅炉废水</w:t>
                  </w:r>
                </w:p>
              </w:tc>
              <w:tc>
                <w:tcPr>
                  <w:tcW w:w="3136" w:type="dxa"/>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lang w:eastAsia="zh-CN"/>
                    </w:rPr>
                    <w:t>依托排污降温池</w:t>
                  </w:r>
                  <w:r>
                    <w:rPr>
                      <w:rFonts w:hint="eastAsia" w:ascii="Times New Roman" w:hAnsi="Times New Roman" w:cs="Times New Roman"/>
                      <w:color w:val="auto"/>
                      <w:sz w:val="21"/>
                      <w:szCs w:val="21"/>
                      <w:u w:val="single"/>
                      <w:lang w:val="en-US" w:eastAsia="zh-CN"/>
                    </w:rPr>
                    <w:t>+</w:t>
                  </w:r>
                  <w:r>
                    <w:rPr>
                      <w:rFonts w:hint="eastAsia" w:ascii="Times New Roman" w:hAnsi="Times New Roman" w:cs="Times New Roman"/>
                      <w:color w:val="auto"/>
                      <w:sz w:val="21"/>
                      <w:szCs w:val="21"/>
                      <w:u w:val="single"/>
                    </w:rPr>
                    <w:t>污水处理站（气浮+接触氧化工艺）+罗家坡污水处理厂</w:t>
                  </w:r>
                </w:p>
              </w:tc>
              <w:tc>
                <w:tcPr>
                  <w:tcW w:w="3724" w:type="dxa"/>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cs="Times New Roman"/>
                      <w:color w:val="auto"/>
                      <w:sz w:val="21"/>
                      <w:szCs w:val="21"/>
                      <w:u w:val="single"/>
                    </w:rPr>
                    <w:t>达到《污水综合排放标准》（GB8978-1996）中三级标准及罗家坡污水处理厂纳污标准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4" w:hRule="atLeast"/>
                <w:jc w:val="center"/>
              </w:trPr>
              <w:tc>
                <w:tcPr>
                  <w:tcW w:w="830" w:type="dxa"/>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噪声</w:t>
                  </w:r>
                </w:p>
              </w:tc>
              <w:tc>
                <w:tcPr>
                  <w:tcW w:w="1380" w:type="dxa"/>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噪声</w:t>
                  </w:r>
                </w:p>
              </w:tc>
              <w:tc>
                <w:tcPr>
                  <w:tcW w:w="3136" w:type="dxa"/>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rPr>
                    <w:t>距离衰减、</w:t>
                  </w:r>
                  <w:r>
                    <w:rPr>
                      <w:rFonts w:hint="eastAsia" w:ascii="Times New Roman" w:hAnsi="Times New Roman" w:cs="Times New Roman"/>
                      <w:color w:val="auto"/>
                      <w:sz w:val="21"/>
                      <w:szCs w:val="21"/>
                      <w:u w:val="single"/>
                      <w:lang w:eastAsia="zh-CN"/>
                    </w:rPr>
                    <w:t>安装减震垫</w:t>
                  </w:r>
                  <w:r>
                    <w:rPr>
                      <w:rFonts w:hint="eastAsia" w:ascii="Times New Roman" w:hAnsi="Times New Roman" w:cs="Times New Roman"/>
                      <w:color w:val="auto"/>
                      <w:sz w:val="21"/>
                      <w:szCs w:val="21"/>
                      <w:u w:val="single"/>
                    </w:rPr>
                    <w:t>减震、厂房隔声</w:t>
                  </w:r>
                </w:p>
              </w:tc>
              <w:tc>
                <w:tcPr>
                  <w:tcW w:w="3724" w:type="dxa"/>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厂界达到《工业企业厂界环境噪声排放标准》（GB12348-2008）中</w:t>
                  </w:r>
                  <w:r>
                    <w:rPr>
                      <w:rFonts w:hint="eastAsia" w:ascii="Times New Roman" w:hAnsi="Times New Roman" w:cs="Times New Roman"/>
                      <w:color w:val="auto"/>
                      <w:sz w:val="21"/>
                      <w:szCs w:val="21"/>
                      <w:u w:val="single"/>
                    </w:rPr>
                    <w:t>2</w:t>
                  </w:r>
                  <w:r>
                    <w:rPr>
                      <w:rFonts w:ascii="Times New Roman" w:hAnsi="Times New Roman" w:cs="Times New Roman"/>
                      <w:color w:val="auto"/>
                      <w:sz w:val="21"/>
                      <w:szCs w:val="21"/>
                      <w:u w:val="single"/>
                    </w:rPr>
                    <w:t>类标准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717" w:hRule="atLeast"/>
                <w:jc w:val="center"/>
              </w:trPr>
              <w:tc>
                <w:tcPr>
                  <w:tcW w:w="830" w:type="dxa"/>
                  <w:vAlign w:val="center"/>
                </w:tcPr>
                <w:p>
                  <w:pPr>
                    <w:spacing w:line="240" w:lineRule="auto"/>
                    <w:jc w:val="center"/>
                    <w:rPr>
                      <w:rFonts w:ascii="Times New Roman" w:hAnsi="Times New Roman" w:cs="Times New Roman"/>
                      <w:color w:val="auto"/>
                      <w:sz w:val="21"/>
                      <w:szCs w:val="21"/>
                      <w:u w:val="single"/>
                    </w:rPr>
                  </w:pPr>
                  <w:r>
                    <w:rPr>
                      <w:rFonts w:ascii="Times New Roman" w:hAnsi="Times New Roman" w:cs="Times New Roman"/>
                      <w:color w:val="auto"/>
                      <w:sz w:val="21"/>
                      <w:szCs w:val="21"/>
                      <w:u w:val="single"/>
                    </w:rPr>
                    <w:t>固废</w:t>
                  </w:r>
                </w:p>
              </w:tc>
              <w:tc>
                <w:tcPr>
                  <w:tcW w:w="1380" w:type="dxa"/>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rPr>
                    <w:t>/</w:t>
                  </w:r>
                </w:p>
              </w:tc>
              <w:tc>
                <w:tcPr>
                  <w:tcW w:w="3136" w:type="dxa"/>
                  <w:vAlign w:val="center"/>
                </w:tcPr>
                <w:p>
                  <w:pPr>
                    <w:spacing w:line="240" w:lineRule="auto"/>
                    <w:jc w:val="center"/>
                    <w:rPr>
                      <w:rFonts w:ascii="Times New Roman" w:hAnsi="Times New Roman" w:eastAsia="宋体" w:cs="Times New Roman"/>
                      <w:color w:val="auto"/>
                      <w:sz w:val="21"/>
                      <w:szCs w:val="21"/>
                      <w:u w:val="single"/>
                    </w:rPr>
                  </w:pPr>
                  <w:r>
                    <w:rPr>
                      <w:rFonts w:hint="eastAsia" w:ascii="Times New Roman" w:hAnsi="Times New Roman" w:cs="Times New Roman"/>
                      <w:color w:val="auto"/>
                      <w:sz w:val="21"/>
                      <w:szCs w:val="21"/>
                      <w:u w:val="single"/>
                    </w:rPr>
                    <w:t>/</w:t>
                  </w:r>
                </w:p>
              </w:tc>
              <w:tc>
                <w:tcPr>
                  <w:tcW w:w="3724" w:type="dxa"/>
                  <w:vAlign w:val="center"/>
                </w:tcPr>
                <w:p>
                  <w:pPr>
                    <w:spacing w:line="240" w:lineRule="auto"/>
                    <w:jc w:val="center"/>
                    <w:rPr>
                      <w:rFonts w:ascii="Times New Roman" w:hAnsi="Times New Roman" w:cs="Times New Roman"/>
                      <w:color w:val="auto"/>
                      <w:sz w:val="21"/>
                      <w:szCs w:val="21"/>
                      <w:u w:val="single"/>
                    </w:rPr>
                  </w:pPr>
                  <w:r>
                    <w:rPr>
                      <w:rFonts w:hint="eastAsia" w:ascii="Times New Roman" w:hAnsi="Times New Roman" w:cs="Times New Roman"/>
                      <w:color w:val="auto"/>
                      <w:sz w:val="21"/>
                      <w:szCs w:val="21"/>
                      <w:u w:val="single"/>
                    </w:rPr>
                    <w:t>/</w:t>
                  </w:r>
                </w:p>
              </w:tc>
            </w:tr>
          </w:tbl>
          <w:p>
            <w:pPr>
              <w:rPr>
                <w:color w:val="auto"/>
              </w:rPr>
            </w:pPr>
          </w:p>
        </w:tc>
      </w:tr>
    </w:tbl>
    <w:p>
      <w:pPr>
        <w:rPr>
          <w:color w:val="auto"/>
        </w:rPr>
      </w:pPr>
      <w:bookmarkStart w:id="8" w:name="_Toc16101"/>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4"/>
        <w:rPr>
          <w:color w:val="auto"/>
        </w:rPr>
      </w:pPr>
      <w:r>
        <w:rPr>
          <w:rFonts w:hint="eastAsia"/>
          <w:color w:val="auto"/>
        </w:rPr>
        <w:t>八、</w:t>
      </w:r>
      <w:r>
        <w:rPr>
          <w:color w:val="auto"/>
        </w:rPr>
        <w:t>建设项目拟采取的防治措施及预期治理效果</w:t>
      </w:r>
      <w:bookmarkEnd w:id="8"/>
    </w:p>
    <w:tbl>
      <w:tblPr>
        <w:tblStyle w:val="17"/>
        <w:tblW w:w="92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61"/>
        <w:gridCol w:w="1828"/>
        <w:gridCol w:w="1909"/>
        <w:gridCol w:w="2663"/>
        <w:gridCol w:w="20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61" w:type="dxa"/>
            <w:vAlign w:val="center"/>
          </w:tcPr>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内容</w:t>
            </w:r>
          </w:p>
          <w:p>
            <w:pPr>
              <w:snapToGri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类型</w:t>
            </w:r>
          </w:p>
          <w:p>
            <w:pPr>
              <w:spacing w:line="240" w:lineRule="auto"/>
              <w:jc w:val="center"/>
              <w:rPr>
                <w:rFonts w:ascii="Times New Roman" w:hAnsi="Times New Roman" w:eastAsia="宋体" w:cs="Times New Roman"/>
                <w:b/>
                <w:color w:val="auto"/>
                <w:sz w:val="21"/>
                <w:szCs w:val="21"/>
              </w:rPr>
            </w:pPr>
            <w:r>
              <w:rPr>
                <w:rFonts w:ascii="Times New Roman" w:hAnsi="Times New Roman" w:cs="Times New Roman"/>
                <w:b/>
                <w:color w:val="auto"/>
                <w:sz w:val="21"/>
                <w:szCs w:val="21"/>
              </w:rPr>
              <w:t>类型</w:t>
            </w:r>
          </w:p>
        </w:tc>
        <w:tc>
          <w:tcPr>
            <w:tcW w:w="1828" w:type="dxa"/>
            <w:vAlign w:val="center"/>
          </w:tcPr>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排放源（编号）</w:t>
            </w:r>
          </w:p>
        </w:tc>
        <w:tc>
          <w:tcPr>
            <w:tcW w:w="1909" w:type="dxa"/>
            <w:vAlign w:val="center"/>
          </w:tcPr>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污染物名称</w:t>
            </w:r>
          </w:p>
        </w:tc>
        <w:tc>
          <w:tcPr>
            <w:tcW w:w="2663" w:type="dxa"/>
            <w:vAlign w:val="center"/>
          </w:tcPr>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防治措施</w:t>
            </w:r>
          </w:p>
        </w:tc>
        <w:tc>
          <w:tcPr>
            <w:tcW w:w="2025" w:type="dxa"/>
            <w:vAlign w:val="center"/>
          </w:tcPr>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预期治理</w:t>
            </w:r>
          </w:p>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效果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61" w:type="dxa"/>
            <w:vMerge w:val="restart"/>
            <w:vAlign w:val="center"/>
          </w:tcPr>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大气</w:t>
            </w:r>
          </w:p>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污染物</w:t>
            </w:r>
          </w:p>
        </w:tc>
        <w:tc>
          <w:tcPr>
            <w:tcW w:w="1828" w:type="dxa"/>
            <w:vMerge w:val="restart"/>
            <w:vAlign w:val="center"/>
          </w:tcPr>
          <w:p>
            <w:pPr>
              <w:spacing w:line="24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锅炉废气</w:t>
            </w:r>
          </w:p>
        </w:tc>
        <w:tc>
          <w:tcPr>
            <w:tcW w:w="1909" w:type="dxa"/>
            <w:vAlign w:val="center"/>
          </w:tcPr>
          <w:p>
            <w:pPr>
              <w:spacing w:line="240" w:lineRule="auto"/>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烟尘</w:t>
            </w:r>
          </w:p>
        </w:tc>
        <w:tc>
          <w:tcPr>
            <w:tcW w:w="2663" w:type="dxa"/>
            <w:vMerge w:val="restart"/>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分体式低氮燃烧器+烟气再循环技术+2</w:t>
            </w:r>
            <w:r>
              <w:rPr>
                <w:rFonts w:hint="eastAsia" w:ascii="Times New Roman" w:hAnsi="Times New Roman" w:cs="Times New Roman"/>
                <w:color w:val="auto"/>
                <w:sz w:val="21"/>
                <w:szCs w:val="21"/>
                <w:lang w:val="en-US" w:eastAsia="zh-CN"/>
              </w:rPr>
              <w:t>3</w:t>
            </w:r>
            <w:r>
              <w:rPr>
                <w:rFonts w:hint="eastAsia" w:ascii="Times New Roman" w:hAnsi="Times New Roman" w:cs="Times New Roman"/>
                <w:color w:val="auto"/>
                <w:sz w:val="21"/>
                <w:szCs w:val="21"/>
              </w:rPr>
              <w:t>m排气筒</w:t>
            </w:r>
          </w:p>
        </w:tc>
        <w:tc>
          <w:tcPr>
            <w:tcW w:w="2025" w:type="dxa"/>
            <w:vMerge w:val="restart"/>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《锅炉大气污染物排放标准》（GB13271-2014）中表3的大气污染物特别排放限值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1" w:type="dxa"/>
            <w:vMerge w:val="continue"/>
            <w:vAlign w:val="center"/>
          </w:tcPr>
          <w:p>
            <w:pPr>
              <w:spacing w:line="240" w:lineRule="auto"/>
              <w:jc w:val="center"/>
              <w:rPr>
                <w:rFonts w:ascii="Times New Roman" w:hAnsi="Times New Roman" w:cs="Times New Roman"/>
                <w:b/>
                <w:color w:val="auto"/>
                <w:sz w:val="21"/>
                <w:szCs w:val="21"/>
              </w:rPr>
            </w:pPr>
          </w:p>
        </w:tc>
        <w:tc>
          <w:tcPr>
            <w:tcW w:w="1828" w:type="dxa"/>
            <w:vMerge w:val="continue"/>
            <w:vAlign w:val="center"/>
          </w:tcPr>
          <w:p>
            <w:pPr>
              <w:spacing w:line="240" w:lineRule="auto"/>
              <w:jc w:val="center"/>
              <w:rPr>
                <w:rFonts w:ascii="Times New Roman" w:hAnsi="Times New Roman" w:cs="Times New Roman"/>
                <w:color w:val="auto"/>
                <w:sz w:val="21"/>
                <w:szCs w:val="21"/>
              </w:rPr>
            </w:pPr>
          </w:p>
        </w:tc>
        <w:tc>
          <w:tcPr>
            <w:tcW w:w="1909"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SO</w:t>
            </w:r>
            <w:r>
              <w:rPr>
                <w:rFonts w:hint="eastAsia" w:ascii="Times New Roman" w:hAnsi="Times New Roman" w:cs="Times New Roman"/>
                <w:color w:val="auto"/>
                <w:sz w:val="21"/>
                <w:szCs w:val="21"/>
                <w:vertAlign w:val="subscript"/>
              </w:rPr>
              <w:t>2</w:t>
            </w:r>
          </w:p>
        </w:tc>
        <w:tc>
          <w:tcPr>
            <w:tcW w:w="2663" w:type="dxa"/>
            <w:vMerge w:val="continue"/>
            <w:vAlign w:val="center"/>
          </w:tcPr>
          <w:p>
            <w:pPr>
              <w:spacing w:line="240" w:lineRule="auto"/>
              <w:jc w:val="center"/>
              <w:rPr>
                <w:rFonts w:ascii="Times New Roman" w:hAnsi="Times New Roman" w:cs="Times New Roman"/>
                <w:color w:val="auto"/>
                <w:sz w:val="21"/>
                <w:szCs w:val="21"/>
              </w:rPr>
            </w:pPr>
          </w:p>
        </w:tc>
        <w:tc>
          <w:tcPr>
            <w:tcW w:w="2025" w:type="dxa"/>
            <w:vMerge w:val="continue"/>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61" w:type="dxa"/>
            <w:vMerge w:val="continue"/>
            <w:vAlign w:val="center"/>
          </w:tcPr>
          <w:p>
            <w:pPr>
              <w:spacing w:line="240" w:lineRule="auto"/>
              <w:jc w:val="center"/>
              <w:rPr>
                <w:rFonts w:ascii="Times New Roman" w:hAnsi="Times New Roman" w:cs="Times New Roman"/>
                <w:b/>
                <w:color w:val="auto"/>
                <w:sz w:val="21"/>
                <w:szCs w:val="21"/>
              </w:rPr>
            </w:pPr>
          </w:p>
        </w:tc>
        <w:tc>
          <w:tcPr>
            <w:tcW w:w="1828" w:type="dxa"/>
            <w:vMerge w:val="continue"/>
            <w:vAlign w:val="center"/>
          </w:tcPr>
          <w:p>
            <w:pPr>
              <w:spacing w:line="240" w:lineRule="auto"/>
              <w:jc w:val="center"/>
              <w:rPr>
                <w:rFonts w:ascii="Times New Roman" w:hAnsi="Times New Roman" w:eastAsia="宋体" w:cs="Times New Roman"/>
                <w:color w:val="auto"/>
                <w:sz w:val="21"/>
                <w:szCs w:val="21"/>
              </w:rPr>
            </w:pPr>
          </w:p>
        </w:tc>
        <w:tc>
          <w:tcPr>
            <w:tcW w:w="1909"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NO</w:t>
            </w:r>
            <w:r>
              <w:rPr>
                <w:rFonts w:hint="eastAsia" w:ascii="Times New Roman" w:hAnsi="Times New Roman" w:cs="Times New Roman"/>
                <w:color w:val="auto"/>
                <w:sz w:val="21"/>
                <w:szCs w:val="21"/>
                <w:vertAlign w:val="subscript"/>
              </w:rPr>
              <w:t>X</w:t>
            </w:r>
          </w:p>
        </w:tc>
        <w:tc>
          <w:tcPr>
            <w:tcW w:w="2663" w:type="dxa"/>
            <w:vMerge w:val="continue"/>
            <w:vAlign w:val="center"/>
          </w:tcPr>
          <w:p>
            <w:pPr>
              <w:spacing w:line="240" w:lineRule="auto"/>
              <w:jc w:val="center"/>
              <w:rPr>
                <w:rFonts w:ascii="Times New Roman" w:hAnsi="Times New Roman" w:cs="Times New Roman"/>
                <w:color w:val="auto"/>
                <w:sz w:val="21"/>
                <w:szCs w:val="21"/>
              </w:rPr>
            </w:pPr>
          </w:p>
        </w:tc>
        <w:tc>
          <w:tcPr>
            <w:tcW w:w="2025" w:type="dxa"/>
            <w:vMerge w:val="continue"/>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1" w:type="dxa"/>
            <w:vMerge w:val="restart"/>
            <w:vAlign w:val="center"/>
          </w:tcPr>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水污</w:t>
            </w:r>
          </w:p>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染物</w:t>
            </w:r>
          </w:p>
        </w:tc>
        <w:tc>
          <w:tcPr>
            <w:tcW w:w="1828" w:type="dxa"/>
            <w:vMerge w:val="restart"/>
            <w:vAlign w:val="center"/>
          </w:tcPr>
          <w:p>
            <w:pPr>
              <w:spacing w:line="240" w:lineRule="auto"/>
              <w:jc w:val="center"/>
              <w:rPr>
                <w:rFonts w:ascii="Times New Roman" w:hAnsi="Times New Roman" w:cs="Times New Roman"/>
                <w:bCs/>
                <w:color w:val="auto"/>
                <w:sz w:val="21"/>
                <w:szCs w:val="21"/>
              </w:rPr>
            </w:pPr>
            <w:r>
              <w:rPr>
                <w:rFonts w:hint="eastAsia" w:ascii="Times New Roman" w:hAnsi="Times New Roman" w:cs="Times New Roman"/>
                <w:bCs/>
                <w:color w:val="auto"/>
                <w:sz w:val="21"/>
                <w:szCs w:val="21"/>
              </w:rPr>
              <w:t>锅炉废水</w:t>
            </w:r>
          </w:p>
        </w:tc>
        <w:tc>
          <w:tcPr>
            <w:tcW w:w="1909" w:type="dxa"/>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COD</w:t>
            </w:r>
          </w:p>
        </w:tc>
        <w:tc>
          <w:tcPr>
            <w:tcW w:w="2663" w:type="dxa"/>
            <w:vMerge w:val="restart"/>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依托现有</w:t>
            </w:r>
            <w:r>
              <w:rPr>
                <w:rFonts w:hint="eastAsia" w:ascii="Times New Roman" w:hAnsi="Times New Roman" w:cs="Times New Roman"/>
                <w:color w:val="auto"/>
                <w:sz w:val="21"/>
                <w:szCs w:val="21"/>
                <w:lang w:eastAsia="zh-CN"/>
              </w:rPr>
              <w:t>排污降温池</w:t>
            </w:r>
            <w:r>
              <w:rPr>
                <w:rFonts w:hint="eastAsia"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rPr>
              <w:t>污水处理站（气浮+接触氧化工艺）</w:t>
            </w:r>
          </w:p>
        </w:tc>
        <w:tc>
          <w:tcPr>
            <w:tcW w:w="2025" w:type="dxa"/>
            <w:vMerge w:val="restart"/>
            <w:vAlign w:val="center"/>
          </w:tcPr>
          <w:p>
            <w:pPr>
              <w:spacing w:line="24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城镇污水处理厂污染物排放标准（GB18918-2002）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1" w:type="dxa"/>
            <w:vMerge w:val="continue"/>
            <w:vAlign w:val="center"/>
          </w:tcPr>
          <w:p>
            <w:pPr>
              <w:spacing w:line="240" w:lineRule="auto"/>
              <w:jc w:val="center"/>
              <w:rPr>
                <w:color w:val="auto"/>
              </w:rPr>
            </w:pPr>
          </w:p>
        </w:tc>
        <w:tc>
          <w:tcPr>
            <w:tcW w:w="1828" w:type="dxa"/>
            <w:vMerge w:val="continue"/>
            <w:vAlign w:val="center"/>
          </w:tcPr>
          <w:p>
            <w:pPr>
              <w:spacing w:line="240" w:lineRule="auto"/>
              <w:jc w:val="center"/>
              <w:rPr>
                <w:color w:val="auto"/>
              </w:rPr>
            </w:pPr>
          </w:p>
        </w:tc>
        <w:tc>
          <w:tcPr>
            <w:tcW w:w="1909"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NH</w:t>
            </w:r>
            <w:r>
              <w:rPr>
                <w:rFonts w:hint="eastAsia" w:ascii="Times New Roman" w:hAnsi="Times New Roman" w:cs="Times New Roman"/>
                <w:color w:val="auto"/>
                <w:sz w:val="21"/>
                <w:szCs w:val="21"/>
                <w:vertAlign w:val="subscript"/>
              </w:rPr>
              <w:t>3</w:t>
            </w:r>
            <w:r>
              <w:rPr>
                <w:rFonts w:hint="eastAsia" w:ascii="Times New Roman" w:hAnsi="Times New Roman" w:cs="Times New Roman"/>
                <w:color w:val="auto"/>
                <w:sz w:val="21"/>
                <w:szCs w:val="21"/>
              </w:rPr>
              <w:t>-N</w:t>
            </w:r>
          </w:p>
        </w:tc>
        <w:tc>
          <w:tcPr>
            <w:tcW w:w="2663" w:type="dxa"/>
            <w:vMerge w:val="continue"/>
            <w:vAlign w:val="center"/>
          </w:tcPr>
          <w:p>
            <w:pPr>
              <w:spacing w:line="240" w:lineRule="auto"/>
              <w:jc w:val="center"/>
              <w:rPr>
                <w:rFonts w:ascii="Times New Roman" w:hAnsi="Times New Roman" w:cs="Times New Roman"/>
                <w:color w:val="auto"/>
                <w:sz w:val="21"/>
                <w:szCs w:val="21"/>
              </w:rPr>
            </w:pPr>
          </w:p>
        </w:tc>
        <w:tc>
          <w:tcPr>
            <w:tcW w:w="2025" w:type="dxa"/>
            <w:vMerge w:val="continue"/>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61" w:type="dxa"/>
            <w:vMerge w:val="continue"/>
            <w:vAlign w:val="center"/>
          </w:tcPr>
          <w:p>
            <w:pPr>
              <w:spacing w:line="240" w:lineRule="auto"/>
              <w:jc w:val="center"/>
              <w:rPr>
                <w:rFonts w:ascii="Times New Roman" w:hAnsi="Times New Roman" w:cs="Times New Roman"/>
                <w:color w:val="auto"/>
                <w:sz w:val="21"/>
                <w:szCs w:val="21"/>
              </w:rPr>
            </w:pPr>
          </w:p>
        </w:tc>
        <w:tc>
          <w:tcPr>
            <w:tcW w:w="1828" w:type="dxa"/>
            <w:vMerge w:val="continue"/>
            <w:vAlign w:val="center"/>
          </w:tcPr>
          <w:p>
            <w:pPr>
              <w:spacing w:line="240" w:lineRule="auto"/>
              <w:jc w:val="center"/>
              <w:rPr>
                <w:rFonts w:ascii="Times New Roman" w:hAnsi="Times New Roman" w:cs="Times New Roman"/>
                <w:color w:val="auto"/>
                <w:sz w:val="21"/>
                <w:szCs w:val="21"/>
              </w:rPr>
            </w:pPr>
          </w:p>
        </w:tc>
        <w:tc>
          <w:tcPr>
            <w:tcW w:w="1909" w:type="dxa"/>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SS</w:t>
            </w:r>
          </w:p>
        </w:tc>
        <w:tc>
          <w:tcPr>
            <w:tcW w:w="2663" w:type="dxa"/>
            <w:vMerge w:val="continue"/>
            <w:vAlign w:val="center"/>
          </w:tcPr>
          <w:p>
            <w:pPr>
              <w:spacing w:line="240" w:lineRule="auto"/>
              <w:jc w:val="center"/>
              <w:rPr>
                <w:rFonts w:ascii="Times New Roman" w:hAnsi="Times New Roman" w:cs="Times New Roman"/>
                <w:color w:val="auto"/>
                <w:sz w:val="21"/>
                <w:szCs w:val="21"/>
              </w:rPr>
            </w:pPr>
          </w:p>
        </w:tc>
        <w:tc>
          <w:tcPr>
            <w:tcW w:w="2025" w:type="dxa"/>
            <w:vMerge w:val="continue"/>
            <w:vAlign w:val="center"/>
          </w:tcPr>
          <w:p>
            <w:pPr>
              <w:spacing w:line="240" w:lineRule="auto"/>
              <w:jc w:val="center"/>
              <w:rPr>
                <w:rFonts w:ascii="Times New Roman" w:hAnsi="Times New Roman"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861" w:type="dxa"/>
            <w:vAlign w:val="center"/>
          </w:tcPr>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固体</w:t>
            </w:r>
          </w:p>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废物</w:t>
            </w:r>
          </w:p>
        </w:tc>
        <w:tc>
          <w:tcPr>
            <w:tcW w:w="1828"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w:t>
            </w:r>
          </w:p>
        </w:tc>
        <w:tc>
          <w:tcPr>
            <w:tcW w:w="1909"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w:t>
            </w:r>
          </w:p>
        </w:tc>
        <w:tc>
          <w:tcPr>
            <w:tcW w:w="2663"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w:t>
            </w:r>
          </w:p>
        </w:tc>
        <w:tc>
          <w:tcPr>
            <w:tcW w:w="2025" w:type="dxa"/>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达到环保要求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61" w:type="dxa"/>
            <w:vAlign w:val="center"/>
          </w:tcPr>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噪声</w:t>
            </w:r>
          </w:p>
        </w:tc>
        <w:tc>
          <w:tcPr>
            <w:tcW w:w="1828"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锅炉运转</w:t>
            </w:r>
          </w:p>
        </w:tc>
        <w:tc>
          <w:tcPr>
            <w:tcW w:w="1909" w:type="dxa"/>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设备运行噪声</w:t>
            </w:r>
            <w:r>
              <w:rPr>
                <w:rFonts w:hint="eastAsia" w:ascii="Times New Roman" w:hAnsi="Times New Roman" w:cs="Times New Roman"/>
                <w:color w:val="auto"/>
                <w:sz w:val="21"/>
                <w:szCs w:val="21"/>
              </w:rPr>
              <w:t>70-80dB(A)</w:t>
            </w:r>
          </w:p>
        </w:tc>
        <w:tc>
          <w:tcPr>
            <w:tcW w:w="2663" w:type="dxa"/>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距离衰减、</w:t>
            </w:r>
            <w:r>
              <w:rPr>
                <w:rFonts w:hint="eastAsia" w:ascii="Times New Roman" w:hAnsi="Times New Roman" w:cs="Times New Roman"/>
                <w:color w:val="auto"/>
                <w:sz w:val="21"/>
                <w:szCs w:val="21"/>
                <w:lang w:eastAsia="zh-CN"/>
              </w:rPr>
              <w:t>安装减震垫</w:t>
            </w:r>
            <w:r>
              <w:rPr>
                <w:rFonts w:hint="eastAsia" w:ascii="Times New Roman" w:hAnsi="Times New Roman" w:cs="Times New Roman"/>
                <w:color w:val="auto"/>
                <w:sz w:val="21"/>
                <w:szCs w:val="21"/>
              </w:rPr>
              <w:t>减震、厂房隔声</w:t>
            </w:r>
          </w:p>
        </w:tc>
        <w:tc>
          <w:tcPr>
            <w:tcW w:w="2025" w:type="dxa"/>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《工业企业厂界环境噪声排放标准》（GB12348-2008）2类标准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86" w:type="dxa"/>
            <w:gridSpan w:val="5"/>
            <w:vAlign w:val="center"/>
          </w:tcPr>
          <w:p>
            <w:pPr>
              <w:spacing w:line="360" w:lineRule="auto"/>
              <w:jc w:val="left"/>
              <w:rPr>
                <w:rFonts w:ascii="Times New Roman" w:hAnsi="Times New Roman" w:cs="Times New Roman"/>
                <w:b/>
                <w:color w:val="auto"/>
                <w:szCs w:val="24"/>
              </w:rPr>
            </w:pPr>
            <w:r>
              <w:rPr>
                <w:rFonts w:ascii="Times New Roman" w:hAnsi="Times New Roman" w:cs="Times New Roman"/>
                <w:b/>
                <w:color w:val="auto"/>
                <w:szCs w:val="24"/>
              </w:rPr>
              <w:t>生态保护措施及预期效果：</w:t>
            </w:r>
          </w:p>
          <w:p>
            <w:pPr>
              <w:ind w:firstLine="480" w:firstLineChars="200"/>
              <w:rPr>
                <w:color w:val="auto"/>
              </w:rPr>
            </w:pPr>
            <w:r>
              <w:rPr>
                <w:color w:val="auto"/>
              </w:rPr>
              <w:t>该项目营运期要确保污染物达标排放，以减少本项目对周围环境的影响，同时应加强设备的管理并建设整洁、优美的厂区，使得项目不会对周围大区域的生态环境带来影响</w:t>
            </w:r>
            <w:r>
              <w:rPr>
                <w:rFonts w:hint="eastAsia"/>
                <w:color w:val="auto"/>
              </w:rPr>
              <w:t>。</w:t>
            </w:r>
          </w:p>
          <w:p>
            <w:pPr>
              <w:spacing w:line="240" w:lineRule="auto"/>
              <w:jc w:val="center"/>
              <w:rPr>
                <w:rFonts w:ascii="Times New Roman" w:hAnsi="Times New Roman" w:cs="Times New Roman"/>
                <w:color w:val="auto"/>
                <w:sz w:val="21"/>
                <w:szCs w:val="21"/>
              </w:rPr>
            </w:pPr>
          </w:p>
          <w:p>
            <w:pPr>
              <w:spacing w:line="240" w:lineRule="auto"/>
              <w:jc w:val="center"/>
              <w:rPr>
                <w:rFonts w:ascii="Times New Roman" w:hAnsi="Times New Roman" w:cs="Times New Roman"/>
                <w:color w:val="auto"/>
                <w:sz w:val="21"/>
                <w:szCs w:val="21"/>
              </w:rPr>
            </w:pPr>
          </w:p>
          <w:p>
            <w:pPr>
              <w:spacing w:line="240" w:lineRule="auto"/>
              <w:jc w:val="center"/>
              <w:rPr>
                <w:rFonts w:ascii="Times New Roman" w:hAnsi="Times New Roman" w:cs="Times New Roman"/>
                <w:color w:val="auto"/>
                <w:sz w:val="21"/>
                <w:szCs w:val="21"/>
              </w:rPr>
            </w:pPr>
          </w:p>
          <w:p>
            <w:pPr>
              <w:spacing w:line="240" w:lineRule="auto"/>
              <w:jc w:val="center"/>
              <w:rPr>
                <w:rFonts w:ascii="Times New Roman" w:hAnsi="Times New Roman" w:cs="Times New Roman"/>
                <w:color w:val="auto"/>
                <w:sz w:val="21"/>
                <w:szCs w:val="21"/>
              </w:rPr>
            </w:pPr>
          </w:p>
          <w:p>
            <w:pPr>
              <w:spacing w:line="240" w:lineRule="auto"/>
              <w:jc w:val="center"/>
              <w:rPr>
                <w:rFonts w:ascii="Times New Roman" w:hAnsi="Times New Roman" w:cs="Times New Roman"/>
                <w:color w:val="auto"/>
                <w:sz w:val="21"/>
                <w:szCs w:val="21"/>
              </w:rPr>
            </w:pPr>
          </w:p>
          <w:p>
            <w:pPr>
              <w:spacing w:line="240" w:lineRule="auto"/>
              <w:rPr>
                <w:rFonts w:ascii="Times New Roman" w:hAnsi="Times New Roman" w:cs="Times New Roman"/>
                <w:color w:val="auto"/>
                <w:sz w:val="21"/>
                <w:szCs w:val="21"/>
              </w:rPr>
            </w:pPr>
          </w:p>
        </w:tc>
      </w:tr>
    </w:tbl>
    <w:p>
      <w:pPr>
        <w:rPr>
          <w:color w:val="auto"/>
        </w:rPr>
      </w:pPr>
    </w:p>
    <w:p>
      <w:pPr>
        <w:pStyle w:val="4"/>
        <w:rPr>
          <w:color w:val="auto"/>
        </w:rPr>
      </w:pPr>
      <w:bookmarkStart w:id="9" w:name="_Toc6490"/>
      <w:r>
        <w:rPr>
          <w:rFonts w:hint="eastAsia"/>
          <w:color w:val="auto"/>
        </w:rPr>
        <w:t>九</w:t>
      </w:r>
      <w:r>
        <w:rPr>
          <w:color w:val="auto"/>
        </w:rPr>
        <w:t>、结论与建议</w:t>
      </w:r>
      <w:bookmarkEnd w:id="9"/>
    </w:p>
    <w:tbl>
      <w:tblPr>
        <w:tblStyle w:val="17"/>
        <w:tblW w:w="928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286" w:type="dxa"/>
          </w:tcPr>
          <w:p>
            <w:pPr>
              <w:pStyle w:val="5"/>
              <w:ind w:firstLine="562"/>
              <w:rPr>
                <w:rFonts w:cs="Times New Roman"/>
                <w:color w:val="auto"/>
              </w:rPr>
            </w:pPr>
            <w:r>
              <w:rPr>
                <w:rFonts w:cs="Times New Roman"/>
                <w:color w:val="auto"/>
              </w:rPr>
              <w:t>一、结论</w:t>
            </w:r>
          </w:p>
          <w:p>
            <w:pPr>
              <w:pStyle w:val="6"/>
              <w:ind w:firstLine="482"/>
              <w:rPr>
                <w:rFonts w:cs="Times New Roman"/>
                <w:color w:val="auto"/>
              </w:rPr>
            </w:pPr>
            <w:r>
              <w:rPr>
                <w:rFonts w:cs="Times New Roman"/>
                <w:color w:val="auto"/>
              </w:rPr>
              <w:t>1、项目概况</w:t>
            </w:r>
          </w:p>
          <w:p>
            <w:pPr>
              <w:autoSpaceDE w:val="0"/>
              <w:autoSpaceDN w:val="0"/>
              <w:ind w:firstLine="480" w:firstLineChars="200"/>
              <w:jc w:val="left"/>
              <w:rPr>
                <w:rFonts w:ascii="Times New Roman" w:hAnsi="Times New Roman" w:cs="Times New Roman"/>
                <w:color w:val="auto"/>
              </w:rPr>
            </w:pPr>
            <w:r>
              <w:rPr>
                <w:rFonts w:ascii="Times New Roman" w:hAnsi="Times New Roman" w:cs="Times New Roman"/>
                <w:color w:val="auto"/>
              </w:rPr>
              <w:t>白象食品股份有限公司湖南分公司于2005年编制了《年产4亿包白象方便面工程环境影响报告表》，并获得岳阳市经济技术开发区环保分局的审批同意（见附件2）。2012年决定扩建，并编制了《年产5亿包方便面调料包建设项目环境影响报告表》，并于2014年3月10日取得了岳阳市环境保护局关于白象食品股份有限公司湖南分公司《年产5亿包方便面调料包建设项目环境影响报告表》的批复（岳经环评【2014】005号，见附件2），项目建设完成后于2014年12月28日取得了年产5亿包方便面调料包建设项目竣工环境保护验收意见（环验【2014】026号，详见附件3）。</w:t>
            </w:r>
          </w:p>
          <w:p>
            <w:pPr>
              <w:autoSpaceDE w:val="0"/>
              <w:autoSpaceDN w:val="0"/>
              <w:ind w:firstLine="480" w:firstLineChars="200"/>
              <w:jc w:val="left"/>
              <w:rPr>
                <w:rFonts w:ascii="Times New Roman" w:hAnsi="Times New Roman" w:cs="Times New Roman"/>
                <w:color w:val="auto"/>
              </w:rPr>
            </w:pPr>
            <w:r>
              <w:rPr>
                <w:rFonts w:ascii="Times New Roman" w:hAnsi="Times New Roman" w:cs="Times New Roman"/>
                <w:color w:val="auto"/>
              </w:rPr>
              <w:t>2019年，企业积极响应政府《湖南省“蓝天保卫战”三年实施方案（2018-2020年）》、《湖南省污染防治攻坚战2019年度工作方案》、《岳阳市污染防治攻坚战2019年度工作方案》等要求。于2020年完成燃煤锅炉改天然气锅炉项目技术改造，由于现有15t/h天然气锅炉压力不足、温度不高、和气量不稳定的原因，严重影响企业生产计划与产品质量，故该公司在不改变现有产品方案、生产规模和生产工艺的情况下，拟出资300万元，在现有锅炉房（中心地理坐标东经113 ° 9 ' 22.97、北纬29° 22 '45.97）新增一台15t/h的天然气锅炉，以补充蒸汽不足或供汽不稳定时对生产经营所造成的影响，在锅炉紧急停汽或缺汽时以备救急，确保企业正常生产，其中环保投资3</w:t>
            </w:r>
            <w:r>
              <w:rPr>
                <w:rFonts w:hint="eastAsia" w:ascii="Times New Roman" w:hAnsi="Times New Roman" w:cs="Times New Roman"/>
                <w:color w:val="auto"/>
                <w:lang w:val="en-US" w:eastAsia="zh-CN"/>
              </w:rPr>
              <w:t>5.82</w:t>
            </w:r>
            <w:r>
              <w:rPr>
                <w:rFonts w:ascii="Times New Roman" w:hAnsi="Times New Roman" w:cs="Times New Roman"/>
                <w:color w:val="auto"/>
              </w:rPr>
              <w:t>万元，占总投资的</w:t>
            </w:r>
            <w:r>
              <w:rPr>
                <w:rFonts w:hint="eastAsia" w:ascii="Times New Roman" w:hAnsi="Times New Roman" w:cs="Times New Roman"/>
                <w:color w:val="auto"/>
                <w:lang w:val="en-US" w:eastAsia="zh-CN"/>
              </w:rPr>
              <w:t>12.02</w:t>
            </w:r>
            <w:r>
              <w:rPr>
                <w:rFonts w:ascii="Times New Roman" w:hAnsi="Times New Roman" w:cs="Times New Roman"/>
                <w:color w:val="auto"/>
              </w:rPr>
              <w:t>%。</w:t>
            </w:r>
          </w:p>
          <w:p>
            <w:pPr>
              <w:autoSpaceDE w:val="0"/>
              <w:autoSpaceDN w:val="0"/>
              <w:ind w:firstLine="480" w:firstLineChars="200"/>
              <w:jc w:val="left"/>
              <w:rPr>
                <w:rFonts w:ascii="Times New Roman" w:hAnsi="Times New Roman" w:cs="Times New Roman"/>
                <w:color w:val="auto"/>
              </w:rPr>
            </w:pPr>
            <w:r>
              <w:rPr>
                <w:rFonts w:ascii="Times New Roman" w:hAnsi="Times New Roman" w:cs="Times New Roman"/>
                <w:color w:val="auto"/>
              </w:rPr>
              <w:t>本项目为</w:t>
            </w:r>
            <w:r>
              <w:rPr>
                <w:rFonts w:hint="eastAsia" w:ascii="Times New Roman" w:hAnsi="Times New Roman" w:cs="Times New Roman"/>
                <w:color w:val="auto"/>
                <w:lang w:eastAsia="zh-CN"/>
              </w:rPr>
              <w:t>扩建</w:t>
            </w:r>
            <w:r>
              <w:rPr>
                <w:rFonts w:ascii="Times New Roman" w:hAnsi="Times New Roman" w:cs="Times New Roman"/>
                <w:color w:val="auto"/>
              </w:rPr>
              <w:t>项目，不新增劳动定员，根据建设单位提供资料，本项目新增锅炉仅在已建锅炉故障停用或供汽不足的情况下使用，一年中两台锅炉同开的情况约为60天。实行2班制，每班工作12小时，</w:t>
            </w:r>
          </w:p>
          <w:p>
            <w:pPr>
              <w:pStyle w:val="6"/>
              <w:ind w:firstLine="482"/>
              <w:rPr>
                <w:rFonts w:cs="Times New Roman"/>
                <w:color w:val="auto"/>
              </w:rPr>
            </w:pPr>
            <w:r>
              <w:rPr>
                <w:rFonts w:cs="Times New Roman"/>
                <w:color w:val="auto"/>
              </w:rPr>
              <w:t>2、环境质量现状结论</w:t>
            </w:r>
          </w:p>
          <w:p>
            <w:pPr>
              <w:autoSpaceDE w:val="0"/>
              <w:autoSpaceDN w:val="0"/>
              <w:ind w:firstLine="480" w:firstLineChars="200"/>
              <w:jc w:val="left"/>
              <w:rPr>
                <w:rFonts w:ascii="Times New Roman" w:hAnsi="Times New Roman" w:cs="Times New Roman"/>
                <w:color w:val="auto"/>
              </w:rPr>
            </w:pPr>
            <w:r>
              <w:rPr>
                <w:rFonts w:ascii="Times New Roman" w:hAnsi="Times New Roman" w:cs="Times New Roman"/>
                <w:color w:val="auto"/>
              </w:rPr>
              <w:t>（1）环境空气质量状况：根据环境质量现状可知，2018年项目所在区域监测因子除PM</w:t>
            </w:r>
            <w:r>
              <w:rPr>
                <w:rFonts w:ascii="Times New Roman" w:hAnsi="Times New Roman" w:cs="Times New Roman"/>
                <w:color w:val="auto"/>
                <w:vertAlign w:val="subscript"/>
              </w:rPr>
              <w:t>10</w:t>
            </w:r>
            <w:r>
              <w:rPr>
                <w:rFonts w:ascii="Times New Roman" w:hAnsi="Times New Roman" w:cs="Times New Roman"/>
                <w:color w:val="auto"/>
              </w:rPr>
              <w:t>、PM</w:t>
            </w:r>
            <w:r>
              <w:rPr>
                <w:rFonts w:ascii="Times New Roman" w:hAnsi="Times New Roman" w:cs="Times New Roman"/>
                <w:color w:val="auto"/>
                <w:vertAlign w:val="subscript"/>
              </w:rPr>
              <w:t>2.5</w:t>
            </w:r>
            <w:r>
              <w:rPr>
                <w:rFonts w:ascii="Times New Roman" w:hAnsi="Times New Roman" w:cs="Times New Roman"/>
                <w:color w:val="auto"/>
              </w:rPr>
              <w:t>以外均符合《环境空气质量标准》（GB3095-2012）二级标准要求。2019年项目所在区域监测因子除O</w:t>
            </w:r>
            <w:r>
              <w:rPr>
                <w:rFonts w:ascii="Times New Roman" w:hAnsi="Times New Roman" w:cs="Times New Roman"/>
                <w:color w:val="auto"/>
                <w:vertAlign w:val="subscript"/>
              </w:rPr>
              <w:t>3</w:t>
            </w:r>
            <w:r>
              <w:rPr>
                <w:rFonts w:ascii="Times New Roman" w:hAnsi="Times New Roman" w:cs="Times New Roman"/>
                <w:color w:val="auto"/>
              </w:rPr>
              <w:t>、PM</w:t>
            </w:r>
            <w:r>
              <w:rPr>
                <w:rFonts w:ascii="Times New Roman" w:hAnsi="Times New Roman" w:cs="Times New Roman"/>
                <w:color w:val="auto"/>
                <w:vertAlign w:val="subscript"/>
              </w:rPr>
              <w:t>2.5</w:t>
            </w:r>
            <w:r>
              <w:rPr>
                <w:rFonts w:ascii="Times New Roman" w:hAnsi="Times New Roman" w:cs="Times New Roman"/>
                <w:color w:val="auto"/>
              </w:rPr>
              <w:t>以外均符合《环境空气质量标准》（GB3095-2012）二级标准要求.</w:t>
            </w:r>
          </w:p>
          <w:p>
            <w:pPr>
              <w:autoSpaceDE w:val="0"/>
              <w:autoSpaceDN w:val="0"/>
              <w:ind w:firstLine="480" w:firstLineChars="200"/>
              <w:jc w:val="left"/>
              <w:rPr>
                <w:rFonts w:ascii="Times New Roman" w:hAnsi="Times New Roman" w:cs="Times New Roman"/>
                <w:color w:val="auto"/>
              </w:rPr>
            </w:pPr>
            <w:r>
              <w:rPr>
                <w:rFonts w:ascii="Times New Roman" w:hAnsi="Times New Roman" w:cs="Times New Roman"/>
                <w:color w:val="auto"/>
              </w:rPr>
              <w:t>（2）水环境质量状况：从现状监测数据可知，北港河监测断面除PH、氨氮、化学需氧量以外其他监测因子能够满足《地表水环境质量标准》（GB3838-2002）中的</w:t>
            </w:r>
            <w:r>
              <w:rPr>
                <w:rFonts w:ascii="Times New Roman" w:hAnsi="Times New Roman" w:cs="Times New Roman"/>
                <w:color w:val="auto"/>
              </w:rPr>
              <w:fldChar w:fldCharType="begin"/>
            </w:r>
            <w:r>
              <w:rPr>
                <w:rFonts w:ascii="Times New Roman" w:hAnsi="Times New Roman" w:cs="Times New Roman"/>
                <w:color w:val="auto"/>
              </w:rPr>
              <w:instrText xml:space="preserve"> = 3 \* ROMAN \* MERGEFORMAT </w:instrText>
            </w:r>
            <w:r>
              <w:rPr>
                <w:rFonts w:ascii="Times New Roman" w:hAnsi="Times New Roman" w:cs="Times New Roman"/>
                <w:color w:val="auto"/>
              </w:rPr>
              <w:fldChar w:fldCharType="separate"/>
            </w:r>
            <w:r>
              <w:rPr>
                <w:rFonts w:ascii="Times New Roman" w:hAnsi="Times New Roman" w:cs="Times New Roman"/>
                <w:color w:val="auto"/>
              </w:rPr>
              <w:t>III</w:t>
            </w:r>
            <w:r>
              <w:rPr>
                <w:rFonts w:ascii="Times New Roman" w:hAnsi="Times New Roman" w:cs="Times New Roman"/>
                <w:color w:val="auto"/>
              </w:rPr>
              <w:fldChar w:fldCharType="end"/>
            </w:r>
            <w:r>
              <w:rPr>
                <w:rFonts w:ascii="Times New Roman" w:hAnsi="Times New Roman" w:cs="Times New Roman"/>
                <w:color w:val="auto"/>
              </w:rPr>
              <w:t>类标准要求；南湖监测断面除总磷、总氮以外其他监测因子均满足《地表水环境质量标准》（GB3838-2002）中的Ⅲ类标准要求，</w:t>
            </w:r>
          </w:p>
          <w:p>
            <w:pPr>
              <w:ind w:firstLine="480" w:firstLineChars="200"/>
              <w:rPr>
                <w:rFonts w:hint="eastAsia" w:ascii="Times New Roman" w:hAnsi="Times New Roman" w:cs="Times New Roman" w:eastAsiaTheme="minorEastAsia"/>
                <w:color w:val="auto"/>
                <w:lang w:eastAsia="zh-CN"/>
              </w:rPr>
            </w:pPr>
            <w:r>
              <w:rPr>
                <w:rFonts w:ascii="Times New Roman" w:hAnsi="Times New Roman" w:cs="Times New Roman"/>
                <w:color w:val="auto"/>
              </w:rPr>
              <w:t>（3）声环境质量状况：项目所在地昼间噪声值为54.3~56.4dB(A)，夜间噪声值为44.6~47.4dB(A)，各侧声环境质量现状能满足《声环境质量标准》（GB3096-2008）</w:t>
            </w:r>
            <w:r>
              <w:rPr>
                <w:rFonts w:hint="eastAsia" w:ascii="Times New Roman" w:hAnsi="Times New Roman" w:cs="Times New Roman"/>
                <w:color w:val="auto"/>
              </w:rPr>
              <w:t>2</w:t>
            </w:r>
            <w:r>
              <w:rPr>
                <w:rFonts w:ascii="Times New Roman" w:hAnsi="Times New Roman" w:cs="Times New Roman"/>
                <w:color w:val="auto"/>
              </w:rPr>
              <w:t>类标准</w:t>
            </w:r>
            <w:r>
              <w:rPr>
                <w:rFonts w:hint="eastAsia" w:ascii="Times New Roman" w:hAnsi="Times New Roman" w:cs="Times New Roman"/>
                <w:color w:val="auto"/>
                <w:lang w:eastAsia="zh-CN"/>
              </w:rPr>
              <w:t>。</w:t>
            </w:r>
          </w:p>
          <w:p>
            <w:pPr>
              <w:pStyle w:val="6"/>
              <w:ind w:firstLine="482"/>
              <w:rPr>
                <w:rFonts w:cs="Times New Roman"/>
                <w:color w:val="auto"/>
              </w:rPr>
            </w:pPr>
            <w:r>
              <w:rPr>
                <w:rFonts w:cs="Times New Roman"/>
                <w:color w:val="auto"/>
              </w:rPr>
              <w:t>3、环保措施及环境影响预测分析结论</w:t>
            </w:r>
          </w:p>
          <w:p>
            <w:pPr>
              <w:ind w:firstLine="480" w:firstLineChars="200"/>
              <w:rPr>
                <w:rFonts w:ascii="Times New Roman" w:hAnsi="Times New Roman" w:cs="Times New Roman"/>
                <w:color w:val="auto"/>
              </w:rPr>
            </w:pPr>
            <w:r>
              <w:rPr>
                <w:rFonts w:ascii="Times New Roman" w:hAnsi="Times New Roman" w:cs="Times New Roman"/>
                <w:color w:val="auto"/>
              </w:rPr>
              <w:t>（1）环境空气</w:t>
            </w:r>
          </w:p>
          <w:p>
            <w:pPr>
              <w:ind w:firstLine="480" w:firstLineChars="200"/>
              <w:rPr>
                <w:rFonts w:ascii="Times New Roman" w:hAnsi="Times New Roman" w:cs="Times New Roman"/>
                <w:color w:val="auto"/>
                <w:lang w:val="zh-CN"/>
              </w:rPr>
            </w:pPr>
            <w:r>
              <w:rPr>
                <w:rFonts w:ascii="Times New Roman" w:hAnsi="Times New Roman" w:cs="Times New Roman"/>
                <w:color w:val="auto"/>
                <w:lang w:val="zh-CN"/>
              </w:rPr>
              <w:t>本项目新建的</w:t>
            </w:r>
            <w:r>
              <w:rPr>
                <w:rFonts w:ascii="Times New Roman" w:hAnsi="Times New Roman" w:cs="Times New Roman"/>
                <w:color w:val="auto"/>
              </w:rPr>
              <w:t>15t/h天然气</w:t>
            </w:r>
            <w:r>
              <w:rPr>
                <w:rFonts w:ascii="Times New Roman" w:hAnsi="Times New Roman" w:cs="Times New Roman"/>
                <w:color w:val="auto"/>
                <w:lang w:val="zh-CN"/>
              </w:rPr>
              <w:t>锅炉配备分体式低氮燃烧器利用烟气再循环技术对锅炉废气进行处理，处理后经管道输送至</w:t>
            </w:r>
            <w:r>
              <w:rPr>
                <w:rFonts w:ascii="Times New Roman" w:hAnsi="Times New Roman" w:cs="Times New Roman"/>
                <w:color w:val="auto"/>
              </w:rPr>
              <w:t>2</w:t>
            </w:r>
            <w:r>
              <w:rPr>
                <w:rFonts w:hint="eastAsia" w:ascii="Times New Roman" w:hAnsi="Times New Roman" w:cs="Times New Roman"/>
                <w:color w:val="auto"/>
                <w:lang w:val="en-US" w:eastAsia="zh-CN"/>
              </w:rPr>
              <w:t>3</w:t>
            </w:r>
            <w:r>
              <w:rPr>
                <w:rFonts w:ascii="Times New Roman" w:hAnsi="Times New Roman" w:cs="Times New Roman"/>
                <w:color w:val="auto"/>
              </w:rPr>
              <w:t>m排气筒高空排放，其</w:t>
            </w:r>
            <w:r>
              <w:rPr>
                <w:rFonts w:ascii="Times New Roman" w:hAnsi="Times New Roman" w:cs="Times New Roman"/>
                <w:color w:val="auto"/>
                <w:lang w:val="zh-CN"/>
              </w:rPr>
              <w:t>排放浓度可满足《锅炉大气污染物排放标准》（GB</w:t>
            </w:r>
            <w:r>
              <w:rPr>
                <w:rFonts w:ascii="Times New Roman" w:hAnsi="Times New Roman" w:cs="Times New Roman"/>
                <w:color w:val="auto"/>
              </w:rPr>
              <w:t>13271</w:t>
            </w:r>
            <w:r>
              <w:rPr>
                <w:rFonts w:ascii="Times New Roman" w:hAnsi="Times New Roman" w:cs="Times New Roman"/>
                <w:color w:val="auto"/>
                <w:lang w:val="zh-CN"/>
              </w:rPr>
              <w:t>-</w:t>
            </w:r>
            <w:r>
              <w:rPr>
                <w:rFonts w:ascii="Times New Roman" w:hAnsi="Times New Roman" w:cs="Times New Roman"/>
                <w:color w:val="auto"/>
              </w:rPr>
              <w:t>2014</w:t>
            </w:r>
            <w:r>
              <w:rPr>
                <w:rFonts w:ascii="Times New Roman" w:hAnsi="Times New Roman" w:cs="Times New Roman"/>
                <w:color w:val="auto"/>
                <w:lang w:val="zh-CN"/>
              </w:rPr>
              <w:t>）中表</w:t>
            </w:r>
            <w:r>
              <w:rPr>
                <w:rFonts w:ascii="Times New Roman" w:hAnsi="Times New Roman" w:cs="Times New Roman"/>
                <w:color w:val="auto"/>
              </w:rPr>
              <w:t>3</w:t>
            </w:r>
            <w:r>
              <w:rPr>
                <w:rFonts w:ascii="Times New Roman" w:hAnsi="Times New Roman" w:cs="Times New Roman"/>
                <w:color w:val="auto"/>
                <w:lang w:val="zh-CN"/>
              </w:rPr>
              <w:t>的大气污染物特别排放限值的要求。</w:t>
            </w:r>
          </w:p>
          <w:p>
            <w:pPr>
              <w:ind w:firstLine="480" w:firstLineChars="200"/>
              <w:rPr>
                <w:rFonts w:ascii="Times New Roman" w:hAnsi="Times New Roman" w:cs="Times New Roman"/>
                <w:color w:val="auto"/>
              </w:rPr>
            </w:pPr>
            <w:r>
              <w:rPr>
                <w:rFonts w:ascii="Times New Roman" w:hAnsi="Times New Roman" w:cs="Times New Roman"/>
                <w:color w:val="auto"/>
              </w:rPr>
              <w:t>通过采取以上措施，废气都能达标排放，对周围环境影响较小。</w:t>
            </w:r>
          </w:p>
          <w:p>
            <w:pPr>
              <w:ind w:firstLine="480" w:firstLineChars="200"/>
              <w:rPr>
                <w:rFonts w:ascii="Times New Roman" w:hAnsi="Times New Roman" w:cs="Times New Roman"/>
                <w:color w:val="auto"/>
              </w:rPr>
            </w:pPr>
            <w:r>
              <w:rPr>
                <w:rFonts w:ascii="Times New Roman" w:hAnsi="Times New Roman" w:cs="Times New Roman"/>
                <w:color w:val="auto"/>
              </w:rPr>
              <w:t>（2）水环境影响分析</w:t>
            </w:r>
          </w:p>
          <w:p>
            <w:pPr>
              <w:ind w:firstLine="480" w:firstLineChars="200"/>
              <w:rPr>
                <w:rFonts w:ascii="Times New Roman" w:hAnsi="Times New Roman" w:cs="Times New Roman"/>
                <w:color w:val="auto"/>
              </w:rPr>
            </w:pPr>
            <w:r>
              <w:rPr>
                <w:rFonts w:ascii="Times New Roman" w:hAnsi="Times New Roman" w:cs="Times New Roman"/>
                <w:color w:val="auto"/>
              </w:rPr>
              <w:t>本项目生产废水为锅炉排污水及软水制备废水，废水经现有污水处理站处理达标后经市政管网排入罗家坡污水处理厂，达到《城镇污水处理厂污染物排放标准》（GB18918-2002）的一级A排放标准后经由北港河排入南湖。综上，项目产生的废水对区域水环境影响不大。</w:t>
            </w:r>
          </w:p>
          <w:p>
            <w:pPr>
              <w:ind w:firstLine="480" w:firstLineChars="200"/>
              <w:rPr>
                <w:rFonts w:ascii="Times New Roman" w:hAnsi="Times New Roman" w:cs="Times New Roman"/>
                <w:color w:val="auto"/>
              </w:rPr>
            </w:pPr>
            <w:r>
              <w:rPr>
                <w:rFonts w:ascii="Times New Roman" w:hAnsi="Times New Roman" w:cs="Times New Roman"/>
                <w:color w:val="auto"/>
              </w:rPr>
              <w:t>（3）声环境影响分析</w:t>
            </w:r>
          </w:p>
          <w:p>
            <w:pPr>
              <w:ind w:firstLine="480" w:firstLineChars="200"/>
              <w:rPr>
                <w:rFonts w:ascii="Times New Roman" w:hAnsi="Times New Roman" w:cs="Times New Roman"/>
                <w:color w:val="auto"/>
              </w:rPr>
            </w:pPr>
            <w:r>
              <w:rPr>
                <w:rFonts w:ascii="Times New Roman" w:hAnsi="Times New Roman" w:cs="Times New Roman"/>
                <w:color w:val="auto"/>
              </w:rPr>
              <w:t>项目产生噪声的设备在采取距离衰减、减震、厂房隔声等降噪措施后，项目各厂界昼夜间噪声均能满足《工业企业厂界环境噪声排放标准》（GB12348-2008）2类标准，对周围环境影响很小。</w:t>
            </w:r>
          </w:p>
          <w:p>
            <w:pPr>
              <w:autoSpaceDE w:val="0"/>
              <w:autoSpaceDN w:val="0"/>
              <w:ind w:firstLine="480" w:firstLineChars="200"/>
              <w:jc w:val="left"/>
              <w:rPr>
                <w:rFonts w:ascii="Times New Roman" w:hAnsi="Times New Roman" w:cs="Times New Roman"/>
                <w:color w:val="auto"/>
              </w:rPr>
            </w:pPr>
            <w:r>
              <w:rPr>
                <w:rFonts w:ascii="Times New Roman" w:hAnsi="Times New Roman" w:cs="Times New Roman"/>
                <w:color w:val="auto"/>
              </w:rPr>
              <w:t>（4）固废环境影响分析</w:t>
            </w:r>
          </w:p>
          <w:p>
            <w:pPr>
              <w:autoSpaceDE w:val="0"/>
              <w:autoSpaceDN w:val="0"/>
              <w:ind w:firstLine="480" w:firstLineChars="200"/>
              <w:jc w:val="left"/>
              <w:rPr>
                <w:rFonts w:ascii="Times New Roman" w:hAnsi="Times New Roman" w:cs="Times New Roman"/>
                <w:color w:val="auto"/>
              </w:rPr>
            </w:pPr>
            <w:r>
              <w:rPr>
                <w:rFonts w:ascii="Times New Roman" w:hAnsi="Times New Roman" w:cs="Times New Roman"/>
                <w:color w:val="auto"/>
              </w:rPr>
              <w:t>本项目运行过程中，不产生固体废物，因此对周围环境不产生影响。</w:t>
            </w:r>
          </w:p>
          <w:p>
            <w:pPr>
              <w:pStyle w:val="6"/>
              <w:ind w:left="480" w:leftChars="200" w:firstLine="0" w:firstLineChars="0"/>
              <w:rPr>
                <w:rFonts w:cs="Times New Roman"/>
                <w:color w:val="auto"/>
              </w:rPr>
            </w:pPr>
            <w:r>
              <w:rPr>
                <w:rFonts w:cs="Times New Roman"/>
                <w:color w:val="auto"/>
              </w:rPr>
              <w:t>4、与白石岭片区“退二进三政策”符合性分析</w:t>
            </w:r>
          </w:p>
          <w:p>
            <w:pPr>
              <w:ind w:firstLine="480" w:firstLineChars="200"/>
              <w:rPr>
                <w:rFonts w:hint="eastAsia" w:ascii="Times New Roman" w:hAnsi="Times New Roman" w:cs="Times New Roman" w:eastAsiaTheme="minorEastAsia"/>
                <w:color w:val="auto"/>
                <w:u w:val="single"/>
                <w:lang w:eastAsia="zh-CN"/>
              </w:rPr>
            </w:pPr>
            <w:r>
              <w:rPr>
                <w:rFonts w:ascii="Times New Roman" w:hAnsi="Times New Roman" w:cs="Times New Roman"/>
                <w:color w:val="auto"/>
                <w:u w:val="single"/>
              </w:rPr>
              <w:t>本项目为扩建项目，在原有锅炉房内进行</w:t>
            </w:r>
            <w:r>
              <w:rPr>
                <w:rFonts w:hint="eastAsia" w:ascii="Times New Roman" w:hAnsi="Times New Roman" w:cs="Times New Roman"/>
                <w:color w:val="auto"/>
                <w:u w:val="single"/>
              </w:rPr>
              <w:t>建设</w:t>
            </w:r>
            <w:r>
              <w:rPr>
                <w:rFonts w:ascii="Times New Roman" w:hAnsi="Times New Roman" w:cs="Times New Roman"/>
                <w:color w:val="auto"/>
                <w:u w:val="single"/>
              </w:rPr>
              <w:t>不涉及搬迁，根据</w:t>
            </w:r>
            <w:r>
              <w:rPr>
                <w:rFonts w:hint="eastAsia" w:ascii="Times New Roman" w:hAnsi="Times New Roman" w:cs="Times New Roman"/>
                <w:color w:val="auto"/>
                <w:u w:val="single"/>
                <w:lang w:eastAsia="zh-CN"/>
              </w:rPr>
              <w:t>“</w:t>
            </w:r>
            <w:r>
              <w:rPr>
                <w:rFonts w:hint="eastAsia" w:ascii="Times New Roman" w:hAnsi="Times New Roman" w:cs="Times New Roman"/>
                <w:color w:val="auto"/>
                <w:u w:val="single"/>
              </w:rPr>
              <w:t>白石岭工业园企业“退二进三”方案</w:t>
            </w:r>
            <w:r>
              <w:rPr>
                <w:rFonts w:hint="eastAsia" w:ascii="Times New Roman" w:hAnsi="Times New Roman" w:cs="Times New Roman"/>
                <w:color w:val="auto"/>
                <w:u w:val="single"/>
                <w:lang w:eastAsia="zh-CN"/>
              </w:rPr>
              <w:t>”及</w:t>
            </w:r>
            <w:r>
              <w:rPr>
                <w:rFonts w:ascii="Times New Roman" w:hAnsi="Times New Roman" w:cs="Times New Roman"/>
                <w:color w:val="auto"/>
                <w:u w:val="single"/>
              </w:rPr>
              <w:t>《关于整治王家河上游制药厂、油脂厂和方便面厂排放污染的建议》可知，项目</w:t>
            </w:r>
            <w:r>
              <w:rPr>
                <w:rFonts w:hint="eastAsia" w:ascii="Times New Roman" w:hAnsi="Times New Roman" w:cs="Times New Roman"/>
                <w:color w:val="auto"/>
                <w:u w:val="single"/>
                <w:lang w:eastAsia="zh-CN"/>
              </w:rPr>
              <w:t>所在</w:t>
            </w:r>
            <w:r>
              <w:rPr>
                <w:rFonts w:ascii="Times New Roman" w:hAnsi="Times New Roman" w:cs="Times New Roman"/>
                <w:color w:val="auto"/>
                <w:u w:val="single"/>
              </w:rPr>
              <w:t>区域为工业园，由于城市发展，周边已形成了居民区，现政府已作规划调整，实行“退二进三”计划，将该区域内的企业逐步进行搬迁。</w:t>
            </w:r>
            <w:r>
              <w:rPr>
                <w:rFonts w:hint="eastAsia" w:ascii="Times New Roman" w:hAnsi="Times New Roman" w:cs="Times New Roman"/>
                <w:color w:val="auto"/>
                <w:u w:val="single"/>
                <w:lang w:eastAsia="zh-CN"/>
              </w:rPr>
              <w:t>目前，</w:t>
            </w:r>
            <w:r>
              <w:rPr>
                <w:rFonts w:hint="eastAsia" w:ascii="Times New Roman" w:hAnsi="Times New Roman" w:cs="Times New Roman"/>
                <w:color w:val="auto"/>
                <w:u w:val="single"/>
              </w:rPr>
              <w:t>岳阳海弘医药化工有限公司已于2013年关停，湖南道道全粮油股份有限公司已于2017年3月底搬迁至临港新区</w:t>
            </w:r>
            <w:r>
              <w:rPr>
                <w:rFonts w:hint="eastAsia" w:ascii="Times New Roman" w:hAnsi="Times New Roman" w:cs="Times New Roman"/>
                <w:color w:val="auto"/>
                <w:u w:val="single"/>
                <w:lang w:eastAsia="zh-CN"/>
              </w:rPr>
              <w:t>，白象食品股份有限公司湖南分公司仍在生产。</w:t>
            </w:r>
            <w:r>
              <w:rPr>
                <w:rFonts w:ascii="Times New Roman" w:hAnsi="Times New Roman" w:cs="Times New Roman"/>
                <w:color w:val="auto"/>
                <w:u w:val="single"/>
              </w:rPr>
              <w:t>故白象食品股份有限公司湖南分公司在没有搬迁之前，政府仍会依法依规、加强对</w:t>
            </w:r>
            <w:r>
              <w:rPr>
                <w:rFonts w:hint="eastAsia" w:ascii="Times New Roman" w:hAnsi="Times New Roman" w:cs="Times New Roman"/>
                <w:color w:val="auto"/>
                <w:u w:val="single"/>
                <w:lang w:eastAsia="zh-CN"/>
              </w:rPr>
              <w:t>未搬迁</w:t>
            </w:r>
            <w:r>
              <w:rPr>
                <w:rFonts w:ascii="Times New Roman" w:hAnsi="Times New Roman" w:cs="Times New Roman"/>
                <w:color w:val="auto"/>
                <w:u w:val="single"/>
              </w:rPr>
              <w:t>企业排污情况进行监管，</w:t>
            </w:r>
            <w:r>
              <w:rPr>
                <w:rFonts w:hint="eastAsia" w:ascii="Times New Roman" w:hAnsi="Times New Roman" w:cs="Times New Roman"/>
                <w:color w:val="auto"/>
                <w:u w:val="single"/>
                <w:lang w:eastAsia="zh-CN"/>
              </w:rPr>
              <w:t>严格管控企业排放，严禁超标排放</w:t>
            </w:r>
            <w:r>
              <w:rPr>
                <w:rFonts w:ascii="Times New Roman" w:hAnsi="Times New Roman" w:cs="Times New Roman"/>
                <w:color w:val="auto"/>
                <w:u w:val="single"/>
              </w:rPr>
              <w:t>。</w:t>
            </w:r>
            <w:r>
              <w:rPr>
                <w:rFonts w:hint="eastAsia" w:ascii="Times New Roman" w:hAnsi="Times New Roman" w:cs="Times New Roman"/>
                <w:color w:val="auto"/>
                <w:u w:val="single"/>
                <w:lang w:eastAsia="zh-CN"/>
              </w:rPr>
              <w:t>别人能项目建设完成后，经过各类环保措施处理后污染物排放达标，对周边环境影响不大，因此，本项目的建设符合</w:t>
            </w:r>
            <w:r>
              <w:rPr>
                <w:rFonts w:cs="Times New Roman"/>
                <w:color w:val="auto"/>
                <w:u w:val="single"/>
              </w:rPr>
              <w:t>白石岭片区</w:t>
            </w:r>
            <w:r>
              <w:rPr>
                <w:rFonts w:hint="eastAsia" w:cs="Times New Roman"/>
                <w:color w:val="auto"/>
                <w:u w:val="single"/>
                <w:lang w:eastAsia="zh-CN"/>
              </w:rPr>
              <w:t>“</w:t>
            </w:r>
            <w:r>
              <w:rPr>
                <w:rFonts w:cs="Times New Roman"/>
                <w:color w:val="auto"/>
                <w:u w:val="single"/>
              </w:rPr>
              <w:t>退二进三政策</w:t>
            </w:r>
            <w:r>
              <w:rPr>
                <w:rFonts w:hint="eastAsia" w:cs="Times New Roman"/>
                <w:color w:val="auto"/>
                <w:u w:val="single"/>
                <w:lang w:eastAsia="zh-CN"/>
              </w:rPr>
              <w:t>”。</w:t>
            </w:r>
          </w:p>
          <w:p>
            <w:pPr>
              <w:pStyle w:val="6"/>
              <w:ind w:firstLine="482"/>
              <w:rPr>
                <w:rFonts w:cs="Times New Roman"/>
                <w:color w:val="auto"/>
              </w:rPr>
            </w:pPr>
            <w:r>
              <w:rPr>
                <w:rFonts w:cs="Times New Roman"/>
                <w:color w:val="auto"/>
              </w:rPr>
              <w:t>5、产业政策符合性分析结论</w:t>
            </w:r>
          </w:p>
          <w:p>
            <w:pPr>
              <w:ind w:firstLine="480" w:firstLineChars="200"/>
              <w:rPr>
                <w:rFonts w:ascii="Times New Roman" w:hAnsi="Times New Roman" w:cs="Times New Roman"/>
                <w:color w:val="auto"/>
              </w:rPr>
            </w:pPr>
            <w:r>
              <w:rPr>
                <w:rFonts w:ascii="Times New Roman" w:hAnsi="Times New Roman" w:cs="Times New Roman"/>
                <w:color w:val="auto"/>
              </w:rPr>
              <w:t>对照《产业结构调整指导目录(2019年本)》可知，本项目不属于淘汰、限制类。根据《部分工业行业淘汰落后生产工艺装备和产品指导目录（2016年本）》，本项目使用的原材料、生产设备等，均不属于《部分工业行业淘汰落后生产工艺装备和产品指导目录（2016年本）》中的淘汰类，因此，本项目的建设符合国家产业政策。</w:t>
            </w:r>
          </w:p>
          <w:p>
            <w:pPr>
              <w:pStyle w:val="6"/>
              <w:ind w:firstLine="482"/>
              <w:rPr>
                <w:rFonts w:cs="Times New Roman"/>
                <w:color w:val="auto"/>
              </w:rPr>
            </w:pPr>
            <w:r>
              <w:rPr>
                <w:rFonts w:cs="Times New Roman"/>
                <w:color w:val="auto"/>
              </w:rPr>
              <w:t>6、选址合理性结论</w:t>
            </w:r>
          </w:p>
          <w:p>
            <w:pPr>
              <w:pStyle w:val="33"/>
              <w:spacing w:line="520" w:lineRule="exact"/>
              <w:ind w:firstLine="480" w:firstLineChars="200"/>
              <w:rPr>
                <w:rFonts w:ascii="Times New Roman" w:cs="Times New Roman"/>
                <w:color w:val="auto"/>
              </w:rPr>
            </w:pPr>
            <w:r>
              <w:rPr>
                <w:rFonts w:ascii="Times New Roman" w:cs="Times New Roman"/>
                <w:color w:val="auto"/>
              </w:rPr>
              <w:t>本项目位于岳阳市王家畈路以南、八字门路以东地块内，在现有锅炉房内进行建设不新增用地，锅炉房距最近的敏感点富兴华城距离有80m，经过采取相应的废气、废水、噪声污染防治措施后，不会对周边环境敏感点造成影响。</w:t>
            </w:r>
          </w:p>
          <w:p>
            <w:pPr>
              <w:ind w:firstLine="470" w:firstLineChars="196"/>
              <w:rPr>
                <w:rFonts w:ascii="Times New Roman" w:hAnsi="Times New Roman" w:cs="Times New Roman"/>
                <w:color w:val="auto"/>
              </w:rPr>
            </w:pPr>
            <w:r>
              <w:rPr>
                <w:rFonts w:ascii="Times New Roman" w:hAnsi="Times New Roman" w:cs="Times New Roman"/>
                <w:color w:val="auto"/>
              </w:rPr>
              <w:t>项目租用的厂房引入符合当地规划要求。同时项目拟建地环境质量现状良好，交通运输十分方便，周边无自然保护区、文物景观、水源地等环境敏感点。因此本项目选址合理。</w:t>
            </w:r>
          </w:p>
          <w:p>
            <w:pPr>
              <w:pStyle w:val="6"/>
              <w:ind w:left="480" w:leftChars="200" w:firstLine="0" w:firstLineChars="0"/>
              <w:rPr>
                <w:rFonts w:cs="Times New Roman"/>
                <w:color w:val="auto"/>
              </w:rPr>
            </w:pPr>
            <w:r>
              <w:rPr>
                <w:rFonts w:cs="Times New Roman"/>
                <w:color w:val="auto"/>
              </w:rPr>
              <w:t>7、与外环境相容性分析</w:t>
            </w:r>
          </w:p>
          <w:p>
            <w:pPr>
              <w:pStyle w:val="33"/>
              <w:spacing w:line="520" w:lineRule="exact"/>
              <w:ind w:firstLine="480" w:firstLineChars="200"/>
              <w:rPr>
                <w:rFonts w:ascii="Times New Roman" w:cs="Times New Roman"/>
                <w:color w:val="auto"/>
              </w:rPr>
            </w:pPr>
            <w:r>
              <w:rPr>
                <w:rFonts w:ascii="Times New Roman" w:cs="Times New Roman"/>
                <w:color w:val="auto"/>
              </w:rPr>
              <w:t>本项目位于</w:t>
            </w:r>
            <w:r>
              <w:rPr>
                <w:rFonts w:ascii="Times New Roman" w:cs="Times New Roman"/>
                <w:color w:val="auto"/>
                <w:lang w:val="zh-TW"/>
              </w:rPr>
              <w:t>岳阳经济技术开发区王家畈路以南，八字门路以东地块内，用地性质属于工业用地。厂址北面隔王家畈路为居民小区</w:t>
            </w:r>
            <w:r>
              <w:rPr>
                <w:rFonts w:ascii="Times New Roman" w:cs="Times New Roman"/>
                <w:color w:val="auto"/>
              </w:rPr>
              <w:t>，东北面有散户居民点，东面有富兴景城小区、</w:t>
            </w:r>
            <w:r>
              <w:rPr>
                <w:rFonts w:ascii="Times New Roman" w:cs="Times New Roman"/>
                <w:color w:val="auto"/>
                <w:lang w:val="zh-TW"/>
              </w:rPr>
              <w:t>湖南九鼎科技九鼎职院</w:t>
            </w:r>
            <w:r>
              <w:rPr>
                <w:rFonts w:ascii="Times New Roman" w:cs="Times New Roman"/>
                <w:color w:val="auto"/>
              </w:rPr>
              <w:t>，东南面为滨水天悦小区，</w:t>
            </w:r>
            <w:r>
              <w:rPr>
                <w:rFonts w:ascii="Times New Roman" w:cs="Times New Roman"/>
                <w:color w:val="auto"/>
                <w:lang w:val="zh-TW"/>
              </w:rPr>
              <w:t>南面为最近的敏感点</w:t>
            </w:r>
            <w:r>
              <w:rPr>
                <w:rFonts w:ascii="Times New Roman" w:cs="Times New Roman"/>
                <w:color w:val="auto"/>
              </w:rPr>
              <w:t>富兴华城小区与锅炉房距离约80米。</w:t>
            </w:r>
            <w:r>
              <w:rPr>
                <w:rFonts w:ascii="Times New Roman" w:cs="Times New Roman"/>
                <w:color w:val="auto"/>
                <w:lang w:val="zh-TW"/>
              </w:rPr>
              <w:t>西面为大桥村居民点和大桥河，与项目隔旭园路，分布较为分散，最近敏感点距离项目约</w:t>
            </w:r>
            <w:r>
              <w:rPr>
                <w:rFonts w:ascii="Times New Roman" w:cs="Times New Roman"/>
                <w:color w:val="auto"/>
              </w:rPr>
              <w:t>80</w:t>
            </w:r>
            <w:r>
              <w:rPr>
                <w:rFonts w:ascii="Times New Roman" w:cs="Times New Roman"/>
                <w:color w:val="auto"/>
                <w:lang w:val="zh-TW"/>
              </w:rPr>
              <w:t>米，</w:t>
            </w:r>
            <w:r>
              <w:rPr>
                <w:rFonts w:hint="eastAsia" w:ascii="Times New Roman" w:cs="Times New Roman"/>
                <w:color w:val="auto"/>
                <w:lang w:val="zh-TW" w:eastAsia="zh-CN"/>
              </w:rPr>
              <w:t>本项目</w:t>
            </w:r>
            <w:r>
              <w:rPr>
                <w:rFonts w:ascii="Times New Roman" w:cs="Times New Roman"/>
                <w:color w:val="auto"/>
                <w:lang w:val="zh-TW"/>
              </w:rPr>
              <w:t>新增</w:t>
            </w:r>
            <w:r>
              <w:rPr>
                <w:rFonts w:ascii="Times New Roman" w:cs="Times New Roman"/>
                <w:color w:val="auto"/>
              </w:rPr>
              <w:t>1台15t/h天然气锅炉</w:t>
            </w:r>
            <w:r>
              <w:rPr>
                <w:rFonts w:ascii="Times New Roman" w:cs="Times New Roman"/>
                <w:color w:val="auto"/>
                <w:lang w:val="zh-TW"/>
              </w:rPr>
              <w:t>的各部分废物经过处理后，其排放未超过排污权证购买总量，对周边环境影响甚微。</w:t>
            </w:r>
          </w:p>
          <w:p>
            <w:pPr>
              <w:pStyle w:val="6"/>
              <w:ind w:firstLine="482"/>
              <w:rPr>
                <w:rFonts w:cs="Times New Roman"/>
                <w:color w:val="auto"/>
              </w:rPr>
            </w:pPr>
            <w:r>
              <w:rPr>
                <w:rFonts w:cs="Times New Roman"/>
                <w:color w:val="auto"/>
              </w:rPr>
              <w:t>8、总量控制分析结论</w:t>
            </w:r>
          </w:p>
          <w:p>
            <w:pPr>
              <w:ind w:firstLine="482"/>
              <w:rPr>
                <w:rFonts w:ascii="Times New Roman" w:hAnsi="Times New Roman" w:cs="Times New Roman"/>
                <w:color w:val="auto"/>
              </w:rPr>
            </w:pPr>
            <w:r>
              <w:rPr>
                <w:rFonts w:ascii="Times New Roman" w:hAnsi="Times New Roman" w:cs="Times New Roman"/>
                <w:color w:val="auto"/>
              </w:rPr>
              <w:t>本项目主要污染源为废气和生产废水，根据第五章和第七章工程分析和核算，本项目产生的废气污染物主要为颗粒物、二氧化硫、氮氧化物。颗粒物不在国家总量控制指标范围内，故建议本项目废气总量控制建议指标为SO</w:t>
            </w:r>
            <w:r>
              <w:rPr>
                <w:rFonts w:ascii="Times New Roman" w:hAnsi="Times New Roman" w:cs="Times New Roman"/>
                <w:color w:val="auto"/>
                <w:vertAlign w:val="subscript"/>
              </w:rPr>
              <w:t>2</w:t>
            </w:r>
            <w:r>
              <w:rPr>
                <w:rFonts w:ascii="Times New Roman" w:hAnsi="Times New Roman" w:cs="Times New Roman"/>
                <w:color w:val="auto"/>
              </w:rPr>
              <w:t>：0.</w:t>
            </w:r>
            <w:r>
              <w:rPr>
                <w:rFonts w:hint="eastAsia" w:ascii="Times New Roman" w:hAnsi="Times New Roman" w:cs="Times New Roman"/>
                <w:color w:val="auto"/>
                <w:lang w:val="en-US" w:eastAsia="zh-CN"/>
              </w:rPr>
              <w:t>599</w:t>
            </w:r>
            <w:r>
              <w:rPr>
                <w:rFonts w:ascii="Times New Roman" w:hAnsi="Times New Roman" w:cs="Times New Roman"/>
                <w:color w:val="auto"/>
              </w:rPr>
              <w:t>t/a、NO</w:t>
            </w:r>
            <w:r>
              <w:rPr>
                <w:rFonts w:ascii="Times New Roman" w:hAnsi="Times New Roman" w:cs="Times New Roman"/>
                <w:color w:val="auto"/>
                <w:vertAlign w:val="subscript"/>
              </w:rPr>
              <w:t>X</w:t>
            </w:r>
            <w:r>
              <w:rPr>
                <w:rFonts w:ascii="Times New Roman" w:hAnsi="Times New Roman" w:cs="Times New Roman"/>
                <w:color w:val="auto"/>
              </w:rPr>
              <w:t>：0.5</w:t>
            </w:r>
            <w:r>
              <w:rPr>
                <w:rFonts w:hint="eastAsia" w:ascii="Times New Roman" w:hAnsi="Times New Roman" w:cs="Times New Roman"/>
                <w:color w:val="auto"/>
                <w:lang w:val="en-US" w:eastAsia="zh-CN"/>
              </w:rPr>
              <w:t>72</w:t>
            </w:r>
            <w:r>
              <w:rPr>
                <w:rFonts w:ascii="Times New Roman" w:hAnsi="Times New Roman" w:cs="Times New Roman"/>
                <w:color w:val="auto"/>
              </w:rPr>
              <w:t>t/a；本项目产生的废水污染物主要为CODcr、NH</w:t>
            </w:r>
            <w:r>
              <w:rPr>
                <w:rFonts w:ascii="Times New Roman" w:hAnsi="Times New Roman" w:cs="Times New Roman"/>
                <w:color w:val="auto"/>
                <w:vertAlign w:val="subscript"/>
              </w:rPr>
              <w:t>3</w:t>
            </w:r>
            <w:r>
              <w:rPr>
                <w:rFonts w:ascii="Times New Roman" w:hAnsi="Times New Roman" w:cs="Times New Roman"/>
                <w:color w:val="auto"/>
              </w:rPr>
              <w:t>-N、SS。SS不在国家总量控制指标范围内，故建议本项目废气总量控制建议指标为CODcr：0.</w:t>
            </w:r>
            <w:r>
              <w:rPr>
                <w:rFonts w:hint="eastAsia" w:ascii="Times New Roman" w:hAnsi="Times New Roman" w:cs="Times New Roman"/>
                <w:color w:val="auto"/>
                <w:lang w:val="en-US" w:eastAsia="zh-CN"/>
              </w:rPr>
              <w:t>1016</w:t>
            </w:r>
            <w:r>
              <w:rPr>
                <w:rFonts w:ascii="Times New Roman" w:hAnsi="Times New Roman" w:cs="Times New Roman"/>
                <w:color w:val="auto"/>
              </w:rPr>
              <w:t>t/a、NH</w:t>
            </w:r>
            <w:r>
              <w:rPr>
                <w:rFonts w:ascii="Times New Roman" w:hAnsi="Times New Roman" w:cs="Times New Roman"/>
                <w:color w:val="auto"/>
                <w:vertAlign w:val="subscript"/>
              </w:rPr>
              <w:t>3</w:t>
            </w:r>
            <w:r>
              <w:rPr>
                <w:rFonts w:ascii="Times New Roman" w:hAnsi="Times New Roman" w:cs="Times New Roman"/>
                <w:color w:val="auto"/>
              </w:rPr>
              <w:t>-N：0.0</w:t>
            </w:r>
            <w:r>
              <w:rPr>
                <w:rFonts w:hint="eastAsia" w:ascii="Times New Roman" w:hAnsi="Times New Roman" w:cs="Times New Roman"/>
                <w:color w:val="auto"/>
                <w:lang w:val="en-US" w:eastAsia="zh-CN"/>
              </w:rPr>
              <w:t>102</w:t>
            </w:r>
            <w:r>
              <w:rPr>
                <w:rFonts w:ascii="Times New Roman" w:hAnsi="Times New Roman" w:cs="Times New Roman"/>
                <w:color w:val="auto"/>
              </w:rPr>
              <w:t>t/a；</w:t>
            </w:r>
          </w:p>
          <w:p>
            <w:pPr>
              <w:ind w:firstLine="482"/>
              <w:rPr>
                <w:rFonts w:ascii="Times New Roman" w:hAnsi="Times New Roman" w:cs="Times New Roman"/>
                <w:color w:val="auto"/>
              </w:rPr>
            </w:pPr>
            <w:r>
              <w:rPr>
                <w:rFonts w:hint="eastAsia" w:ascii="Times New Roman" w:hAnsi="Times New Roman" w:cs="Times New Roman"/>
                <w:color w:val="auto"/>
              </w:rPr>
              <w:t>根据三本帐分析，全厂合计SO</w:t>
            </w:r>
            <w:r>
              <w:rPr>
                <w:rFonts w:hint="eastAsia" w:ascii="Times New Roman" w:hAnsi="Times New Roman" w:cs="Times New Roman"/>
                <w:color w:val="auto"/>
                <w:vertAlign w:val="subscript"/>
              </w:rPr>
              <w:t>2</w:t>
            </w:r>
            <w:r>
              <w:rPr>
                <w:rFonts w:hint="eastAsia" w:ascii="Times New Roman" w:hAnsi="Times New Roman" w:cs="Times New Roman"/>
                <w:color w:val="auto"/>
              </w:rPr>
              <w:t>排放量为</w:t>
            </w:r>
            <w:r>
              <w:rPr>
                <w:rFonts w:hint="eastAsia" w:ascii="Times New Roman" w:hAnsi="Times New Roman" w:cs="Times New Roman"/>
                <w:color w:val="auto"/>
                <w:lang w:val="en-US" w:eastAsia="zh-CN"/>
              </w:rPr>
              <w:t>1.656</w:t>
            </w:r>
            <w:r>
              <w:rPr>
                <w:rFonts w:hint="eastAsia" w:ascii="Times New Roman" w:hAnsi="Times New Roman" w:cs="Times New Roman"/>
                <w:color w:val="auto"/>
              </w:rPr>
              <w:t>t/a，NO</w:t>
            </w:r>
            <w:r>
              <w:rPr>
                <w:rFonts w:hint="eastAsia" w:ascii="Times New Roman" w:hAnsi="Times New Roman" w:cs="Times New Roman"/>
                <w:color w:val="auto"/>
                <w:vertAlign w:val="subscript"/>
              </w:rPr>
              <w:t>X</w:t>
            </w:r>
            <w:r>
              <w:rPr>
                <w:rFonts w:hint="eastAsia" w:ascii="Times New Roman" w:hAnsi="Times New Roman" w:cs="Times New Roman"/>
                <w:color w:val="auto"/>
              </w:rPr>
              <w:t>排放量为</w:t>
            </w:r>
            <w:r>
              <w:rPr>
                <w:rFonts w:hint="eastAsia" w:ascii="Times New Roman" w:hAnsi="Times New Roman" w:cs="Times New Roman"/>
                <w:color w:val="auto"/>
                <w:lang w:val="en-US" w:eastAsia="zh-CN"/>
              </w:rPr>
              <w:t>4.091</w:t>
            </w:r>
            <w:r>
              <w:rPr>
                <w:rFonts w:hint="eastAsia" w:ascii="Times New Roman" w:hAnsi="Times New Roman" w:cs="Times New Roman"/>
                <w:color w:val="auto"/>
              </w:rPr>
              <w:t>t/a，CODcr排放量为</w:t>
            </w:r>
            <w:r>
              <w:rPr>
                <w:rFonts w:hint="eastAsia" w:ascii="Times New Roman" w:hAnsi="Times New Roman" w:cs="Times New Roman"/>
                <w:color w:val="auto"/>
                <w:lang w:val="en-US" w:eastAsia="zh-CN"/>
              </w:rPr>
              <w:t>4.3451</w:t>
            </w:r>
            <w:r>
              <w:rPr>
                <w:rFonts w:hint="eastAsia" w:ascii="Times New Roman" w:hAnsi="Times New Roman" w:cs="Times New Roman"/>
                <w:color w:val="auto"/>
              </w:rPr>
              <w:t>t/a，NH</w:t>
            </w:r>
            <w:r>
              <w:rPr>
                <w:rFonts w:hint="eastAsia" w:ascii="Times New Roman" w:hAnsi="Times New Roman" w:cs="Times New Roman"/>
                <w:color w:val="auto"/>
                <w:vertAlign w:val="subscript"/>
              </w:rPr>
              <w:t>3</w:t>
            </w:r>
            <w:r>
              <w:rPr>
                <w:rFonts w:hint="eastAsia" w:ascii="Times New Roman" w:hAnsi="Times New Roman" w:cs="Times New Roman"/>
                <w:color w:val="auto"/>
              </w:rPr>
              <w:t>-N排放量为</w:t>
            </w:r>
            <w:r>
              <w:rPr>
                <w:rFonts w:hint="eastAsia" w:ascii="Times New Roman" w:hAnsi="Times New Roman" w:cs="Times New Roman"/>
                <w:color w:val="auto"/>
                <w:lang w:val="en-US" w:eastAsia="zh-CN"/>
              </w:rPr>
              <w:t>0.4346</w:t>
            </w:r>
            <w:r>
              <w:rPr>
                <w:rFonts w:hint="eastAsia" w:ascii="Times New Roman" w:hAnsi="Times New Roman" w:cs="Times New Roman"/>
                <w:color w:val="auto"/>
              </w:rPr>
              <w:t>t/a 。</w:t>
            </w:r>
          </w:p>
          <w:p>
            <w:pPr>
              <w:ind w:firstLine="482"/>
              <w:rPr>
                <w:rFonts w:ascii="Times New Roman" w:hAnsi="Times New Roman" w:cs="Times New Roman"/>
                <w:color w:val="auto"/>
              </w:rPr>
            </w:pPr>
            <w:r>
              <w:rPr>
                <w:rFonts w:ascii="Times New Roman" w:hAnsi="Times New Roman" w:cs="Times New Roman"/>
                <w:color w:val="auto"/>
              </w:rPr>
              <w:t>本项目改造前排污权购买总量为CODcr：23t/a、NH</w:t>
            </w:r>
            <w:r>
              <w:rPr>
                <w:rFonts w:ascii="Times New Roman" w:hAnsi="Times New Roman" w:cs="Times New Roman"/>
                <w:color w:val="auto"/>
                <w:vertAlign w:val="subscript"/>
              </w:rPr>
              <w:t>3</w:t>
            </w:r>
            <w:r>
              <w:rPr>
                <w:rFonts w:ascii="Times New Roman" w:hAnsi="Times New Roman" w:cs="Times New Roman"/>
                <w:color w:val="auto"/>
              </w:rPr>
              <w:t>-N：1.5t/a、SO</w:t>
            </w:r>
            <w:r>
              <w:rPr>
                <w:rFonts w:ascii="Times New Roman" w:hAnsi="Times New Roman" w:cs="Times New Roman"/>
                <w:color w:val="auto"/>
                <w:vertAlign w:val="subscript"/>
              </w:rPr>
              <w:t>2</w:t>
            </w:r>
            <w:r>
              <w:rPr>
                <w:rFonts w:ascii="Times New Roman" w:hAnsi="Times New Roman" w:cs="Times New Roman"/>
                <w:color w:val="auto"/>
              </w:rPr>
              <w:t>：3.5t/a、NO</w:t>
            </w:r>
            <w:r>
              <w:rPr>
                <w:rFonts w:ascii="Times New Roman" w:hAnsi="Times New Roman" w:cs="Times New Roman"/>
                <w:color w:val="auto"/>
                <w:vertAlign w:val="subscript"/>
              </w:rPr>
              <w:t>X</w:t>
            </w:r>
            <w:r>
              <w:rPr>
                <w:rFonts w:ascii="Times New Roman" w:hAnsi="Times New Roman" w:cs="Times New Roman"/>
                <w:color w:val="auto"/>
              </w:rPr>
              <w:t>：16.5t/a；故本项目无需申请补充购买总量。</w:t>
            </w:r>
          </w:p>
          <w:p>
            <w:pPr>
              <w:pStyle w:val="5"/>
              <w:ind w:firstLine="562"/>
              <w:rPr>
                <w:rFonts w:cs="Times New Roman"/>
                <w:color w:val="auto"/>
              </w:rPr>
            </w:pPr>
            <w:r>
              <w:rPr>
                <w:rFonts w:cs="Times New Roman"/>
                <w:color w:val="auto"/>
              </w:rPr>
              <w:t>二、建议</w:t>
            </w:r>
          </w:p>
          <w:p>
            <w:pPr>
              <w:ind w:firstLine="480" w:firstLineChars="200"/>
              <w:rPr>
                <w:rFonts w:ascii="Times New Roman" w:hAnsi="Times New Roman" w:cs="Times New Roman"/>
                <w:color w:val="auto"/>
              </w:rPr>
            </w:pPr>
            <w:r>
              <w:rPr>
                <w:rFonts w:ascii="Times New Roman" w:hAnsi="Times New Roman" w:cs="Times New Roman"/>
                <w:color w:val="auto"/>
              </w:rPr>
              <w:t>（1）在该工程运营过程中必须保证环保措施的正常运行，确保报告表中提出的各项治理措施落实到位，以保证项目污染物达标排放。</w:t>
            </w:r>
          </w:p>
          <w:p>
            <w:pPr>
              <w:ind w:firstLine="480" w:firstLineChars="200"/>
              <w:rPr>
                <w:rFonts w:ascii="Times New Roman" w:hAnsi="Times New Roman" w:cs="Times New Roman"/>
                <w:color w:val="auto"/>
              </w:rPr>
            </w:pPr>
            <w:r>
              <w:rPr>
                <w:rFonts w:ascii="Times New Roman" w:hAnsi="Times New Roman" w:cs="Times New Roman"/>
                <w:color w:val="auto"/>
              </w:rPr>
              <w:t>（2）做好原辅材料和成品的分区存放和日常管理，按规定进行设备操作，防止生产过程中风险事故的发生。</w:t>
            </w:r>
          </w:p>
          <w:p>
            <w:pPr>
              <w:ind w:firstLine="480" w:firstLineChars="200"/>
              <w:rPr>
                <w:rFonts w:ascii="Times New Roman" w:hAnsi="Times New Roman" w:cs="Times New Roman"/>
                <w:color w:val="auto"/>
              </w:rPr>
            </w:pPr>
            <w:r>
              <w:rPr>
                <w:rFonts w:ascii="Times New Roman" w:hAnsi="Times New Roman" w:cs="Times New Roman"/>
                <w:color w:val="auto"/>
              </w:rPr>
              <w:t>（3）建设单位要加强对环境的管理，设专门的环保机构和人员，定期对环保设施进行检查和维护，确保其长期在正常安全状态下运行，杜绝发生污染事故，并严格接受环保部门的日常监督管理，确保污染物排放、资源利用、环保等指标符合相应的要求。</w:t>
            </w:r>
          </w:p>
          <w:p>
            <w:pPr>
              <w:ind w:firstLine="480" w:firstLineChars="200"/>
              <w:rPr>
                <w:rFonts w:ascii="Times New Roman" w:hAnsi="Times New Roman" w:cs="Times New Roman"/>
                <w:color w:val="auto"/>
              </w:rPr>
            </w:pPr>
            <w:r>
              <w:rPr>
                <w:rFonts w:ascii="Times New Roman" w:hAnsi="Times New Roman" w:cs="Times New Roman"/>
                <w:color w:val="auto"/>
              </w:rPr>
              <w:t>（4）项目应按环评的内容进行生产，不得进行违规生产。</w:t>
            </w:r>
          </w:p>
          <w:p>
            <w:pPr>
              <w:pStyle w:val="2"/>
              <w:rPr>
                <w:rFonts w:ascii="Times New Roman" w:hAnsi="Times New Roman" w:cs="Times New Roman"/>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286" w:type="dxa"/>
          </w:tcPr>
          <w:p>
            <w:pPr>
              <w:spacing w:line="360" w:lineRule="auto"/>
              <w:rPr>
                <w:rFonts w:ascii="Times New Roman" w:hAnsi="Times New Roman" w:cs="Times New Roman"/>
                <w:color w:val="auto"/>
                <w:spacing w:val="6"/>
                <w:sz w:val="28"/>
              </w:rPr>
            </w:pPr>
            <w:r>
              <w:rPr>
                <w:rFonts w:ascii="Times New Roman" w:hAnsi="Times New Roman" w:cs="Times New Roman"/>
                <w:color w:val="auto"/>
                <w:spacing w:val="6"/>
                <w:sz w:val="28"/>
              </w:rPr>
              <w:t>预审意见：</w:t>
            </w:r>
          </w:p>
          <w:p>
            <w:pPr>
              <w:spacing w:line="360" w:lineRule="auto"/>
              <w:rPr>
                <w:rFonts w:ascii="Times New Roman" w:hAnsi="Times New Roman" w:cs="Times New Roman"/>
                <w:color w:val="auto"/>
                <w:spacing w:val="6"/>
                <w:sz w:val="28"/>
              </w:rPr>
            </w:pPr>
          </w:p>
          <w:p>
            <w:pPr>
              <w:spacing w:line="360" w:lineRule="auto"/>
              <w:rPr>
                <w:rFonts w:ascii="Times New Roman" w:hAnsi="Times New Roman" w:cs="Times New Roman"/>
                <w:color w:val="auto"/>
                <w:spacing w:val="6"/>
                <w:sz w:val="28"/>
              </w:rPr>
            </w:pPr>
          </w:p>
          <w:p>
            <w:pPr>
              <w:spacing w:line="360" w:lineRule="auto"/>
              <w:rPr>
                <w:rFonts w:ascii="Times New Roman" w:hAnsi="Times New Roman" w:cs="Times New Roman"/>
                <w:color w:val="auto"/>
                <w:spacing w:val="6"/>
                <w:sz w:val="28"/>
              </w:rPr>
            </w:pPr>
          </w:p>
          <w:p>
            <w:pPr>
              <w:spacing w:line="360" w:lineRule="auto"/>
              <w:rPr>
                <w:rFonts w:ascii="Times New Roman" w:hAnsi="Times New Roman" w:cs="Times New Roman"/>
                <w:color w:val="auto"/>
                <w:spacing w:val="6"/>
                <w:sz w:val="28"/>
              </w:rPr>
            </w:pPr>
          </w:p>
          <w:p>
            <w:pPr>
              <w:spacing w:line="360" w:lineRule="auto"/>
              <w:rPr>
                <w:rFonts w:ascii="Times New Roman" w:hAnsi="Times New Roman" w:cs="Times New Roman"/>
                <w:color w:val="auto"/>
                <w:spacing w:val="6"/>
                <w:sz w:val="28"/>
              </w:rPr>
            </w:pPr>
            <w:r>
              <w:rPr>
                <w:rFonts w:ascii="Times New Roman" w:hAnsi="Times New Roman" w:cs="Times New Roman"/>
                <w:color w:val="auto"/>
                <w:spacing w:val="6"/>
                <w:sz w:val="28"/>
              </w:rPr>
              <w:t xml:space="preserve">                                          公    章</w:t>
            </w:r>
          </w:p>
          <w:p>
            <w:pPr>
              <w:spacing w:line="360" w:lineRule="auto"/>
              <w:rPr>
                <w:rFonts w:ascii="Times New Roman" w:hAnsi="Times New Roman" w:cs="Times New Roman"/>
                <w:color w:val="auto"/>
                <w:spacing w:val="6"/>
                <w:sz w:val="28"/>
              </w:rPr>
            </w:pPr>
          </w:p>
          <w:p>
            <w:pPr>
              <w:pStyle w:val="2"/>
              <w:rPr>
                <w:rFonts w:ascii="Times New Roman" w:hAnsi="Times New Roman" w:cs="Times New Roman"/>
                <w:color w:val="auto"/>
              </w:rPr>
            </w:pPr>
          </w:p>
          <w:p>
            <w:pPr>
              <w:spacing w:line="360" w:lineRule="auto"/>
              <w:rPr>
                <w:rFonts w:ascii="Times New Roman" w:hAnsi="Times New Roman" w:cs="Times New Roman"/>
                <w:color w:val="auto"/>
              </w:rPr>
            </w:pPr>
            <w:r>
              <w:rPr>
                <w:rFonts w:ascii="Times New Roman" w:hAnsi="Times New Roman" w:cs="Times New Roman"/>
                <w:color w:val="auto"/>
                <w:spacing w:val="6"/>
                <w:sz w:val="28"/>
              </w:rPr>
              <w:t>经办人：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286" w:type="dxa"/>
          </w:tcPr>
          <w:p>
            <w:pPr>
              <w:spacing w:line="360" w:lineRule="auto"/>
              <w:rPr>
                <w:rFonts w:ascii="Times New Roman" w:hAnsi="Times New Roman" w:cs="Times New Roman"/>
                <w:color w:val="auto"/>
                <w:spacing w:val="6"/>
                <w:sz w:val="28"/>
              </w:rPr>
            </w:pPr>
            <w:r>
              <w:rPr>
                <w:rFonts w:ascii="Times New Roman" w:hAnsi="Times New Roman" w:cs="Times New Roman"/>
                <w:color w:val="auto"/>
                <w:spacing w:val="6"/>
                <w:sz w:val="28"/>
              </w:rPr>
              <w:t>下一级环境保护行政主管部门审查意见：</w:t>
            </w:r>
          </w:p>
          <w:p>
            <w:pPr>
              <w:spacing w:line="360" w:lineRule="auto"/>
              <w:rPr>
                <w:rFonts w:ascii="Times New Roman" w:hAnsi="Times New Roman" w:cs="Times New Roman"/>
                <w:color w:val="auto"/>
                <w:spacing w:val="6"/>
                <w:sz w:val="28"/>
              </w:rPr>
            </w:pPr>
          </w:p>
          <w:p>
            <w:pPr>
              <w:spacing w:line="360" w:lineRule="auto"/>
              <w:rPr>
                <w:rFonts w:ascii="Times New Roman" w:hAnsi="Times New Roman" w:cs="Times New Roman"/>
                <w:color w:val="auto"/>
                <w:spacing w:val="6"/>
                <w:sz w:val="28"/>
              </w:rPr>
            </w:pPr>
          </w:p>
          <w:p>
            <w:pPr>
              <w:spacing w:line="360" w:lineRule="auto"/>
              <w:rPr>
                <w:rFonts w:ascii="Times New Roman" w:hAnsi="Times New Roman" w:cs="Times New Roman"/>
                <w:color w:val="auto"/>
                <w:spacing w:val="6"/>
                <w:sz w:val="28"/>
              </w:rPr>
            </w:pPr>
          </w:p>
          <w:p>
            <w:pPr>
              <w:spacing w:line="360" w:lineRule="auto"/>
              <w:rPr>
                <w:rFonts w:ascii="Times New Roman" w:hAnsi="Times New Roman" w:cs="Times New Roman"/>
                <w:color w:val="auto"/>
                <w:spacing w:val="6"/>
                <w:sz w:val="28"/>
              </w:rPr>
            </w:pPr>
          </w:p>
          <w:p>
            <w:pPr>
              <w:spacing w:line="360" w:lineRule="auto"/>
              <w:rPr>
                <w:rFonts w:ascii="Times New Roman" w:hAnsi="Times New Roman" w:cs="Times New Roman"/>
                <w:color w:val="auto"/>
                <w:spacing w:val="6"/>
                <w:sz w:val="28"/>
              </w:rPr>
            </w:pPr>
          </w:p>
          <w:p>
            <w:pPr>
              <w:spacing w:line="360" w:lineRule="auto"/>
              <w:rPr>
                <w:rFonts w:ascii="Times New Roman" w:hAnsi="Times New Roman" w:cs="Times New Roman"/>
                <w:color w:val="auto"/>
                <w:spacing w:val="6"/>
                <w:sz w:val="28"/>
              </w:rPr>
            </w:pPr>
          </w:p>
          <w:p>
            <w:pPr>
              <w:spacing w:line="360" w:lineRule="auto"/>
              <w:rPr>
                <w:rFonts w:ascii="Times New Roman" w:hAnsi="Times New Roman" w:cs="Times New Roman"/>
                <w:color w:val="auto"/>
                <w:spacing w:val="6"/>
                <w:sz w:val="28"/>
              </w:rPr>
            </w:pPr>
          </w:p>
          <w:p>
            <w:pPr>
              <w:pStyle w:val="2"/>
              <w:rPr>
                <w:rFonts w:ascii="Times New Roman" w:hAnsi="Times New Roman" w:cs="Times New Roman"/>
                <w:color w:val="auto"/>
              </w:rPr>
            </w:pPr>
          </w:p>
          <w:p>
            <w:pPr>
              <w:spacing w:line="360" w:lineRule="auto"/>
              <w:rPr>
                <w:rFonts w:ascii="Times New Roman" w:hAnsi="Times New Roman" w:cs="Times New Roman"/>
                <w:color w:val="auto"/>
                <w:spacing w:val="6"/>
                <w:sz w:val="28"/>
              </w:rPr>
            </w:pPr>
            <w:r>
              <w:rPr>
                <w:rFonts w:ascii="Times New Roman" w:hAnsi="Times New Roman" w:cs="Times New Roman"/>
                <w:color w:val="auto"/>
                <w:spacing w:val="6"/>
                <w:sz w:val="28"/>
              </w:rPr>
              <w:t xml:space="preserve">                                           公    章</w:t>
            </w:r>
          </w:p>
          <w:p>
            <w:pPr>
              <w:spacing w:line="360" w:lineRule="auto"/>
              <w:rPr>
                <w:rFonts w:ascii="Times New Roman" w:hAnsi="Times New Roman" w:cs="Times New Roman"/>
                <w:color w:val="auto"/>
                <w:spacing w:val="6"/>
                <w:sz w:val="28"/>
              </w:rPr>
            </w:pPr>
          </w:p>
          <w:p>
            <w:pPr>
              <w:spacing w:line="360" w:lineRule="auto"/>
              <w:rPr>
                <w:rFonts w:ascii="Times New Roman" w:hAnsi="Times New Roman" w:cs="Times New Roman"/>
                <w:color w:val="auto"/>
              </w:rPr>
            </w:pPr>
            <w:r>
              <w:rPr>
                <w:rFonts w:ascii="Times New Roman" w:hAnsi="Times New Roman" w:cs="Times New Roman"/>
                <w:color w:val="auto"/>
                <w:spacing w:val="6"/>
                <w:sz w:val="28"/>
              </w:rPr>
              <w:t>经办人：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286" w:type="dxa"/>
          </w:tcPr>
          <w:p>
            <w:pPr>
              <w:jc w:val="center"/>
              <w:rPr>
                <w:rFonts w:ascii="Times New Roman" w:hAnsi="Times New Roman" w:cs="Times New Roman"/>
                <w:color w:val="auto"/>
              </w:rPr>
            </w:pPr>
            <w:r>
              <w:rPr>
                <w:rFonts w:ascii="Times New Roman" w:hAnsi="Times New Roman" w:cs="Times New Roman"/>
                <w:color w:val="auto"/>
              </w:rPr>
              <w:t>注    释</w:t>
            </w:r>
          </w:p>
          <w:p>
            <w:pPr>
              <w:ind w:firstLine="480" w:firstLineChars="200"/>
              <w:rPr>
                <w:rFonts w:ascii="Times New Roman" w:hAnsi="Times New Roman" w:cs="Times New Roman"/>
                <w:color w:val="auto"/>
              </w:rPr>
            </w:pPr>
            <w:r>
              <w:rPr>
                <w:rFonts w:ascii="Times New Roman" w:hAnsi="Times New Roman" w:cs="Times New Roman"/>
                <w:color w:val="auto"/>
              </w:rPr>
              <w:t xml:space="preserve">一、本报告表应附以下附件、附图：    </w:t>
            </w:r>
          </w:p>
          <w:p>
            <w:pPr>
              <w:ind w:firstLine="482" w:firstLineChars="200"/>
              <w:rPr>
                <w:rFonts w:ascii="Times New Roman" w:hAnsi="Times New Roman" w:cs="Times New Roman"/>
                <w:b/>
                <w:bCs/>
                <w:color w:val="auto"/>
                <w:highlight w:val="none"/>
              </w:rPr>
            </w:pPr>
            <w:r>
              <w:rPr>
                <w:rFonts w:hint="eastAsia" w:ascii="Times New Roman" w:hAnsi="Times New Roman" w:cs="Times New Roman"/>
                <w:b/>
                <w:bCs/>
                <w:color w:val="auto"/>
                <w:highlight w:val="none"/>
              </w:rPr>
              <w:t>附件：</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附件1  环评委托书</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 xml:space="preserve">附件2  </w:t>
            </w:r>
            <w:r>
              <w:rPr>
                <w:rFonts w:hint="eastAsia" w:ascii="Times New Roman" w:hAnsi="Times New Roman" w:cs="Times New Roman"/>
                <w:color w:val="auto"/>
                <w:highlight w:val="none"/>
              </w:rPr>
              <w:t>项目历年环评批复</w:t>
            </w:r>
            <w:r>
              <w:rPr>
                <w:rFonts w:ascii="Times New Roman" w:hAnsi="Times New Roman" w:cs="Times New Roman"/>
                <w:color w:val="auto"/>
                <w:highlight w:val="none"/>
              </w:rPr>
              <w:t xml:space="preserve"> </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 xml:space="preserve">附件3  </w:t>
            </w:r>
            <w:r>
              <w:rPr>
                <w:rFonts w:hint="eastAsia" w:ascii="Times New Roman" w:hAnsi="Times New Roman" w:cs="Times New Roman"/>
                <w:color w:val="auto"/>
                <w:highlight w:val="none"/>
              </w:rPr>
              <w:t>项目历年竣工环境保护验收意见</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 xml:space="preserve">附件4  </w:t>
            </w:r>
            <w:r>
              <w:rPr>
                <w:rFonts w:hint="eastAsia" w:ascii="Times New Roman" w:hAnsi="Times New Roman" w:cs="Times New Roman"/>
                <w:color w:val="auto"/>
                <w:highlight w:val="none"/>
              </w:rPr>
              <w:t>应急预案备案登记表</w:t>
            </w:r>
          </w:p>
          <w:p>
            <w:pPr>
              <w:pStyle w:val="2"/>
              <w:spacing w:after="0"/>
              <w:ind w:firstLine="480" w:firstLineChars="200"/>
              <w:rPr>
                <w:color w:val="auto"/>
                <w:highlight w:val="none"/>
              </w:rPr>
            </w:pPr>
            <w:r>
              <w:rPr>
                <w:rFonts w:ascii="Times New Roman" w:hAnsi="Times New Roman" w:cs="Times New Roman"/>
                <w:color w:val="auto"/>
                <w:highlight w:val="none"/>
              </w:rPr>
              <w:t xml:space="preserve">附件5  </w:t>
            </w:r>
            <w:r>
              <w:rPr>
                <w:rFonts w:hint="eastAsia" w:ascii="Times New Roman" w:hAnsi="Times New Roman" w:cs="Times New Roman"/>
                <w:color w:val="auto"/>
                <w:highlight w:val="none"/>
              </w:rPr>
              <w:t>9-11月常规监测质保单</w:t>
            </w:r>
          </w:p>
          <w:p>
            <w:pPr>
              <w:ind w:firstLine="480" w:firstLineChars="200"/>
              <w:rPr>
                <w:rFonts w:ascii="Times New Roman" w:hAnsi="Times New Roman" w:cs="Times New Roman"/>
                <w:color w:val="auto"/>
                <w:highlight w:val="none"/>
              </w:rPr>
            </w:pPr>
            <w:r>
              <w:rPr>
                <w:rFonts w:hint="eastAsia" w:ascii="Times New Roman" w:hAnsi="Times New Roman" w:cs="Times New Roman"/>
                <w:color w:val="auto"/>
                <w:highlight w:val="none"/>
              </w:rPr>
              <w:t>附件6  排污权指标</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附件</w:t>
            </w:r>
            <w:r>
              <w:rPr>
                <w:rFonts w:hint="eastAsia" w:ascii="Times New Roman" w:hAnsi="Times New Roman" w:cs="Times New Roman"/>
                <w:color w:val="auto"/>
                <w:highlight w:val="none"/>
              </w:rPr>
              <w:t>7</w:t>
            </w:r>
            <w:r>
              <w:rPr>
                <w:rFonts w:ascii="Times New Roman" w:hAnsi="Times New Roman" w:cs="Times New Roman"/>
                <w:color w:val="auto"/>
                <w:highlight w:val="none"/>
              </w:rPr>
              <w:t xml:space="preserve">  营业执照</w:t>
            </w:r>
          </w:p>
          <w:p>
            <w:pPr>
              <w:ind w:firstLine="480" w:firstLineChars="20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eastAsia="zh-CN"/>
              </w:rPr>
              <w:t>附件</w:t>
            </w:r>
            <w:r>
              <w:rPr>
                <w:rFonts w:hint="eastAsia" w:ascii="Times New Roman" w:hAnsi="Times New Roman" w:cs="Times New Roman"/>
                <w:color w:val="auto"/>
                <w:highlight w:val="none"/>
                <w:lang w:val="en-US" w:eastAsia="zh-CN"/>
              </w:rPr>
              <w:t>8   气质分析报告</w:t>
            </w:r>
          </w:p>
          <w:p>
            <w:pPr>
              <w:pStyle w:val="15"/>
              <w:ind w:firstLine="241"/>
              <w:rPr>
                <w:b/>
                <w:bCs/>
                <w:color w:val="auto"/>
                <w:highlight w:val="none"/>
              </w:rPr>
            </w:pPr>
            <w:r>
              <w:rPr>
                <w:rFonts w:hint="eastAsia"/>
                <w:b/>
                <w:bCs/>
                <w:color w:val="auto"/>
                <w:highlight w:val="none"/>
              </w:rPr>
              <w:t>附图：</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附图1</w:t>
            </w:r>
            <w:r>
              <w:rPr>
                <w:rFonts w:hint="eastAsia" w:ascii="Times New Roman" w:hAnsi="Times New Roman" w:cs="Times New Roman"/>
                <w:color w:val="auto"/>
                <w:highlight w:val="none"/>
              </w:rPr>
              <w:t>-1、1-2</w:t>
            </w:r>
            <w:r>
              <w:rPr>
                <w:rFonts w:ascii="Times New Roman" w:hAnsi="Times New Roman" w:cs="Times New Roman"/>
                <w:color w:val="auto"/>
                <w:highlight w:val="none"/>
              </w:rPr>
              <w:t xml:space="preserve">  项目地理位置图</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附图2  环境监测布点图</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附图3  环境保护目标图</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附图4  项目平面布置图</w:t>
            </w:r>
          </w:p>
          <w:p>
            <w:pPr>
              <w:ind w:firstLine="480" w:firstLineChars="200"/>
              <w:rPr>
                <w:rFonts w:ascii="Times New Roman" w:hAnsi="Times New Roman" w:cs="Times New Roman"/>
                <w:color w:val="auto"/>
                <w:highlight w:val="none"/>
              </w:rPr>
            </w:pPr>
            <w:r>
              <w:rPr>
                <w:rFonts w:hint="eastAsia" w:ascii="Times New Roman" w:hAnsi="Times New Roman" w:cs="Times New Roman"/>
                <w:color w:val="auto"/>
                <w:highlight w:val="none"/>
              </w:rPr>
              <w:t>附图5  锅炉房2F平面布置示意图</w:t>
            </w:r>
          </w:p>
          <w:p>
            <w:pPr>
              <w:ind w:firstLine="480" w:firstLineChars="200"/>
              <w:rPr>
                <w:rFonts w:ascii="Times New Roman" w:hAnsi="Times New Roman" w:cs="Times New Roman"/>
                <w:color w:val="auto"/>
                <w:highlight w:val="none"/>
              </w:rPr>
            </w:pPr>
            <w:r>
              <w:rPr>
                <w:rFonts w:hint="eastAsia" w:ascii="Times New Roman" w:hAnsi="Times New Roman" w:cs="Times New Roman"/>
                <w:color w:val="auto"/>
                <w:highlight w:val="none"/>
              </w:rPr>
              <w:t>附图</w:t>
            </w:r>
            <w:r>
              <w:rPr>
                <w:rFonts w:hint="eastAsia" w:ascii="Times New Roman" w:hAnsi="Times New Roman" w:cs="Times New Roman"/>
                <w:color w:val="auto"/>
                <w:highlight w:val="none"/>
                <w:lang w:val="en-US" w:eastAsia="zh-CN"/>
              </w:rPr>
              <w:t>6</w:t>
            </w:r>
            <w:r>
              <w:rPr>
                <w:rFonts w:hint="eastAsia" w:ascii="Times New Roman" w:hAnsi="Times New Roman" w:cs="Times New Roman"/>
                <w:color w:val="auto"/>
                <w:highlight w:val="none"/>
              </w:rPr>
              <w:t xml:space="preserve">  经开区污水管网分布图</w:t>
            </w:r>
          </w:p>
          <w:p>
            <w:pPr>
              <w:ind w:firstLine="480" w:firstLineChars="200"/>
              <w:rPr>
                <w:color w:val="auto"/>
                <w:highlight w:val="yellow"/>
              </w:rPr>
            </w:pPr>
            <w:r>
              <w:rPr>
                <w:rFonts w:hint="eastAsia" w:ascii="Times New Roman" w:hAnsi="Times New Roman" w:cs="Times New Roman"/>
                <w:color w:val="auto"/>
                <w:highlight w:val="none"/>
              </w:rPr>
              <w:t>附图</w:t>
            </w:r>
            <w:r>
              <w:rPr>
                <w:rFonts w:hint="eastAsia" w:ascii="Times New Roman" w:hAnsi="Times New Roman" w:cs="Times New Roman"/>
                <w:color w:val="auto"/>
                <w:highlight w:val="none"/>
                <w:lang w:val="en-US" w:eastAsia="zh-CN"/>
              </w:rPr>
              <w:t>7</w:t>
            </w:r>
            <w:r>
              <w:rPr>
                <w:rFonts w:ascii="Times New Roman" w:hAnsi="Times New Roman" w:cs="Times New Roman"/>
                <w:color w:val="auto"/>
                <w:highlight w:val="none"/>
              </w:rPr>
              <w:t xml:space="preserve">  项目周边及现场照片图</w:t>
            </w:r>
          </w:p>
          <w:p>
            <w:pPr>
              <w:pStyle w:val="15"/>
              <w:ind w:firstLine="241"/>
              <w:rPr>
                <w:b/>
                <w:bCs/>
                <w:color w:val="auto"/>
              </w:rPr>
            </w:pPr>
            <w:r>
              <w:rPr>
                <w:rFonts w:hint="eastAsia"/>
                <w:b/>
                <w:bCs/>
                <w:color w:val="auto"/>
              </w:rPr>
              <w:t>附表：</w:t>
            </w:r>
          </w:p>
          <w:p>
            <w:pPr>
              <w:ind w:firstLine="480" w:firstLineChars="200"/>
              <w:rPr>
                <w:color w:val="auto"/>
              </w:rPr>
            </w:pPr>
            <w:r>
              <w:rPr>
                <w:color w:val="auto"/>
              </w:rPr>
              <w:t>建设项目环评审批基础信息表</w:t>
            </w:r>
          </w:p>
          <w:p>
            <w:pPr>
              <w:ind w:firstLine="480" w:firstLineChars="200"/>
              <w:rPr>
                <w:rFonts w:hint="eastAsia" w:ascii="Times New Roman" w:hAnsi="Times New Roman" w:cs="Times New Roman"/>
                <w:color w:val="auto"/>
              </w:rPr>
            </w:pPr>
            <w:r>
              <w:rPr>
                <w:rFonts w:ascii="Times New Roman" w:hAnsi="Times New Roman" w:cs="Times New Roman"/>
                <w:color w:val="auto"/>
              </w:rPr>
              <w:t>二、如果本报告表不能说明项目产生的污染及对环境造成的影响，应进行专项评价。根据</w:t>
            </w:r>
            <w:r>
              <w:rPr>
                <w:rFonts w:hint="eastAsia" w:ascii="Times New Roman" w:hAnsi="Times New Roman" w:cs="Times New Roman"/>
                <w:color w:val="auto"/>
              </w:rPr>
              <w:t>建设项目的特点和当地环境特征，应选下列1－2项进行专项评价。</w:t>
            </w:r>
          </w:p>
          <w:p>
            <w:pPr>
              <w:ind w:firstLine="480" w:firstLineChars="200"/>
              <w:rPr>
                <w:rFonts w:hint="eastAsia" w:ascii="Times New Roman" w:hAnsi="Times New Roman" w:cs="Times New Roman"/>
                <w:color w:val="auto"/>
              </w:rPr>
            </w:pPr>
            <w:r>
              <w:rPr>
                <w:rFonts w:hint="eastAsia" w:ascii="Times New Roman" w:hAnsi="Times New Roman" w:cs="Times New Roman"/>
                <w:color w:val="auto"/>
              </w:rPr>
              <w:t>1、大气环境影响专项评价</w:t>
            </w:r>
          </w:p>
          <w:p>
            <w:pPr>
              <w:ind w:firstLine="480" w:firstLineChars="200"/>
              <w:rPr>
                <w:rFonts w:hint="eastAsia" w:ascii="Times New Roman" w:hAnsi="Times New Roman" w:cs="Times New Roman"/>
                <w:color w:val="auto"/>
              </w:rPr>
            </w:pPr>
            <w:r>
              <w:rPr>
                <w:rFonts w:hint="eastAsia" w:ascii="Times New Roman" w:hAnsi="Times New Roman" w:cs="Times New Roman"/>
                <w:color w:val="auto"/>
              </w:rPr>
              <w:t>2、水环境影响专项评价（包括地表水和地下水）</w:t>
            </w:r>
          </w:p>
          <w:p>
            <w:pPr>
              <w:ind w:firstLine="480" w:firstLineChars="200"/>
              <w:rPr>
                <w:rFonts w:hint="eastAsia" w:ascii="Times New Roman" w:hAnsi="Times New Roman" w:cs="Times New Roman"/>
                <w:color w:val="auto"/>
              </w:rPr>
            </w:pPr>
            <w:r>
              <w:rPr>
                <w:rFonts w:hint="eastAsia" w:ascii="Times New Roman" w:hAnsi="Times New Roman" w:cs="Times New Roman"/>
                <w:color w:val="auto"/>
              </w:rPr>
              <w:t>3、生态影响专项评价</w:t>
            </w:r>
          </w:p>
          <w:p>
            <w:pPr>
              <w:ind w:firstLine="480" w:firstLineChars="200"/>
              <w:rPr>
                <w:rFonts w:hint="eastAsia" w:ascii="Times New Roman" w:hAnsi="Times New Roman" w:cs="Times New Roman"/>
                <w:color w:val="auto"/>
              </w:rPr>
            </w:pPr>
            <w:r>
              <w:rPr>
                <w:rFonts w:hint="eastAsia" w:ascii="Times New Roman" w:hAnsi="Times New Roman" w:cs="Times New Roman"/>
                <w:color w:val="auto"/>
              </w:rPr>
              <w:t>4、声影响专项评价</w:t>
            </w:r>
          </w:p>
          <w:p>
            <w:pPr>
              <w:ind w:firstLine="480" w:firstLineChars="200"/>
              <w:rPr>
                <w:rFonts w:hint="eastAsia" w:ascii="Times New Roman" w:hAnsi="Times New Roman" w:cs="Times New Roman"/>
                <w:color w:val="auto"/>
              </w:rPr>
            </w:pPr>
            <w:r>
              <w:rPr>
                <w:rFonts w:hint="eastAsia" w:ascii="Times New Roman" w:hAnsi="Times New Roman" w:cs="Times New Roman"/>
                <w:color w:val="auto"/>
              </w:rPr>
              <w:t>5、土壤影响专项评价</w:t>
            </w:r>
          </w:p>
          <w:p>
            <w:pPr>
              <w:ind w:firstLine="480" w:firstLineChars="200"/>
              <w:rPr>
                <w:rFonts w:hint="eastAsia" w:ascii="Times New Roman" w:hAnsi="Times New Roman" w:cs="Times New Roman"/>
                <w:color w:val="auto"/>
              </w:rPr>
            </w:pPr>
            <w:r>
              <w:rPr>
                <w:rFonts w:hint="eastAsia" w:ascii="Times New Roman" w:hAnsi="Times New Roman" w:cs="Times New Roman"/>
                <w:color w:val="auto"/>
              </w:rPr>
              <w:t>6、固体废弃物影响专项评价</w:t>
            </w:r>
          </w:p>
          <w:p>
            <w:pPr>
              <w:ind w:firstLine="480" w:firstLineChars="200"/>
              <w:rPr>
                <w:rFonts w:ascii="Times New Roman" w:hAnsi="Times New Roman" w:cs="Times New Roman"/>
                <w:color w:val="auto"/>
              </w:rPr>
            </w:pPr>
            <w:r>
              <w:rPr>
                <w:rFonts w:hint="eastAsia" w:ascii="Times New Roman" w:hAnsi="Times New Roman" w:cs="Times New Roman"/>
                <w:color w:val="auto"/>
              </w:rPr>
              <w:t>以上专项评价未包括的可另列专项，专项评价按照《环境影响评价技术导则》中的要求进行。</w:t>
            </w:r>
          </w:p>
        </w:tc>
      </w:tr>
    </w:tbl>
    <w:p>
      <w:pPr>
        <w:pStyle w:val="15"/>
        <w:ind w:firstLine="0" w:firstLineChars="0"/>
      </w:pPr>
    </w:p>
    <w:sectPr>
      <w:pgSz w:w="11906" w:h="16838"/>
      <w:pgMar w:top="1440" w:right="1800" w:bottom="1440" w:left="1800" w:header="1134"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18030">
    <w:altName w:val="宋体"/>
    <w:panose1 w:val="00000000000000000000"/>
    <w:charset w:val="00"/>
    <w:family w:val="auto"/>
    <w:pitch w:val="default"/>
    <w:sig w:usb0="00000000" w:usb1="00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仿宋_GB2312">
    <w:altName w:val="仿宋"/>
    <w:panose1 w:val="00000000000000000000"/>
    <w:charset w:val="86"/>
    <w:family w:val="auto"/>
    <w:pitch w:val="default"/>
    <w:sig w:usb0="00000000" w:usb1="00000000" w:usb2="00000000" w:usb3="00000000" w:csb0="00040000" w:csb1="00000000"/>
  </w:font>
  <w:font w:name="MS Gothic">
    <w:panose1 w:val="020B0609070205080204"/>
    <w:charset w:val="80"/>
    <w:family w:val="modern"/>
    <w:pitch w:val="default"/>
    <w:sig w:usb0="E00002FF" w:usb1="6AC7FDFB" w:usb2="00000012" w:usb3="00000000" w:csb0="4002009F" w:csb1="DFD7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163329"/>
    </w:sdtPr>
    <w:sdtContent>
      <w:p>
        <w:pPr>
          <w:pStyle w:val="11"/>
          <w:jc w:val="center"/>
        </w:pPr>
        <w:r>
          <w:fldChar w:fldCharType="begin"/>
        </w:r>
        <w:r>
          <w:instrText xml:space="preserve">PAGE   \* MERGEFORMAT</w:instrText>
        </w:r>
        <w:r>
          <w:fldChar w:fldCharType="separate"/>
        </w:r>
        <w:r>
          <w:rPr>
            <w:lang w:val="zh-CN"/>
          </w:rPr>
          <w:t>2</w:t>
        </w:r>
        <w:r>
          <w:fldChar w:fldCharType="end"/>
        </w:r>
      </w:p>
    </w:sdtContent>
  </w:sdt>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C16F70"/>
    <w:multiLevelType w:val="singleLevel"/>
    <w:tmpl w:val="91C16F70"/>
    <w:lvl w:ilvl="0" w:tentative="0">
      <w:start w:val="1"/>
      <w:numFmt w:val="decimal"/>
      <w:suff w:val="nothing"/>
      <w:lvlText w:val="%1、"/>
      <w:lvlJc w:val="left"/>
    </w:lvl>
  </w:abstractNum>
  <w:abstractNum w:abstractNumId="1">
    <w:nsid w:val="AA1D9D4F"/>
    <w:multiLevelType w:val="singleLevel"/>
    <w:tmpl w:val="AA1D9D4F"/>
    <w:lvl w:ilvl="0" w:tentative="0">
      <w:start w:val="2"/>
      <w:numFmt w:val="decimal"/>
      <w:suff w:val="nothing"/>
      <w:lvlText w:val="%1、"/>
      <w:lvlJc w:val="left"/>
    </w:lvl>
  </w:abstractNum>
  <w:abstractNum w:abstractNumId="2">
    <w:nsid w:val="B095C00F"/>
    <w:multiLevelType w:val="singleLevel"/>
    <w:tmpl w:val="B095C00F"/>
    <w:lvl w:ilvl="0" w:tentative="0">
      <w:start w:val="4"/>
      <w:numFmt w:val="decimal"/>
      <w:suff w:val="nothing"/>
      <w:lvlText w:val="%1、"/>
      <w:lvlJc w:val="left"/>
    </w:lvl>
  </w:abstractNum>
  <w:abstractNum w:abstractNumId="3">
    <w:nsid w:val="BFA2B424"/>
    <w:multiLevelType w:val="singleLevel"/>
    <w:tmpl w:val="BFA2B424"/>
    <w:lvl w:ilvl="0" w:tentative="0">
      <w:start w:val="7"/>
      <w:numFmt w:val="chineseCounting"/>
      <w:suff w:val="nothing"/>
      <w:lvlText w:val="%1、"/>
      <w:lvlJc w:val="left"/>
      <w:rPr>
        <w:rFonts w:hint="eastAsia"/>
      </w:rPr>
    </w:lvl>
  </w:abstractNum>
  <w:abstractNum w:abstractNumId="4">
    <w:nsid w:val="C49B0971"/>
    <w:multiLevelType w:val="singleLevel"/>
    <w:tmpl w:val="C49B0971"/>
    <w:lvl w:ilvl="0" w:tentative="0">
      <w:start w:val="8"/>
      <w:numFmt w:val="decimal"/>
      <w:suff w:val="nothing"/>
      <w:lvlText w:val="%1、"/>
      <w:lvlJc w:val="left"/>
    </w:lvl>
  </w:abstractNum>
  <w:abstractNum w:abstractNumId="5">
    <w:nsid w:val="DDB8C3D5"/>
    <w:multiLevelType w:val="singleLevel"/>
    <w:tmpl w:val="DDB8C3D5"/>
    <w:lvl w:ilvl="0" w:tentative="0">
      <w:start w:val="1"/>
      <w:numFmt w:val="chineseCounting"/>
      <w:suff w:val="nothing"/>
      <w:lvlText w:val="%1、"/>
      <w:lvlJc w:val="left"/>
      <w:rPr>
        <w:rFonts w:hint="eastAsia"/>
      </w:rPr>
    </w:lvl>
  </w:abstractNum>
  <w:abstractNum w:abstractNumId="6">
    <w:nsid w:val="00000006"/>
    <w:multiLevelType w:val="multilevel"/>
    <w:tmpl w:val="00000006"/>
    <w:lvl w:ilvl="0" w:tentative="0">
      <w:start w:val="1"/>
      <w:numFmt w:val="lowerLetter"/>
      <w:lvlText w:val="%1."/>
      <w:lvlJc w:val="left"/>
      <w:pPr>
        <w:tabs>
          <w:tab w:val="left" w:pos="420"/>
        </w:tabs>
        <w:ind w:left="0" w:firstLine="539"/>
      </w:pPr>
      <w:rPr>
        <w:rFonts w:hint="eastAsia"/>
      </w:rPr>
    </w:lvl>
    <w:lvl w:ilvl="1" w:tentative="0">
      <w:start w:val="1"/>
      <w:numFmt w:val="lowerLetter"/>
      <w:lvlText w:val="%2)"/>
      <w:lvlJc w:val="left"/>
      <w:pPr>
        <w:tabs>
          <w:tab w:val="left" w:pos="840"/>
        </w:tabs>
        <w:ind w:left="840" w:hanging="420"/>
      </w:pPr>
    </w:lvl>
    <w:lvl w:ilvl="2" w:tentative="0">
      <w:start w:val="1"/>
      <w:numFmt w:val="lowerRoman"/>
      <w:pStyle w:val="24"/>
      <w:lvlText w:val="%3."/>
      <w:lvlJc w:val="right"/>
      <w:pPr>
        <w:tabs>
          <w:tab w:val="left" w:pos="1260"/>
        </w:tabs>
        <w:ind w:left="1260" w:hanging="420"/>
      </w:pPr>
    </w:lvl>
    <w:lvl w:ilvl="3" w:tentative="0">
      <w:start w:val="1"/>
      <w:numFmt w:val="decimal"/>
      <w:pStyle w:val="23"/>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2876BD55"/>
    <w:multiLevelType w:val="singleLevel"/>
    <w:tmpl w:val="2876BD55"/>
    <w:lvl w:ilvl="0" w:tentative="0">
      <w:start w:val="2"/>
      <w:numFmt w:val="decimal"/>
      <w:suff w:val="nothing"/>
      <w:lvlText w:val="（%1）"/>
      <w:lvlJc w:val="left"/>
    </w:lvl>
  </w:abstractNum>
  <w:abstractNum w:abstractNumId="8">
    <w:nsid w:val="3673AF0E"/>
    <w:multiLevelType w:val="singleLevel"/>
    <w:tmpl w:val="3673AF0E"/>
    <w:lvl w:ilvl="0" w:tentative="0">
      <w:start w:val="1"/>
      <w:numFmt w:val="decimal"/>
      <w:suff w:val="nothing"/>
      <w:lvlText w:val="（%1）"/>
      <w:lvlJc w:val="left"/>
    </w:lvl>
  </w:abstractNum>
  <w:abstractNum w:abstractNumId="9">
    <w:nsid w:val="395FC4C2"/>
    <w:multiLevelType w:val="singleLevel"/>
    <w:tmpl w:val="395FC4C2"/>
    <w:lvl w:ilvl="0" w:tentative="0">
      <w:start w:val="2"/>
      <w:numFmt w:val="decimal"/>
      <w:suff w:val="nothing"/>
      <w:lvlText w:val="（%1）"/>
      <w:lvlJc w:val="left"/>
    </w:lvl>
  </w:abstractNum>
  <w:num w:numId="1">
    <w:abstractNumId w:val="6"/>
  </w:num>
  <w:num w:numId="2">
    <w:abstractNumId w:val="5"/>
  </w:num>
  <w:num w:numId="3">
    <w:abstractNumId w:val="9"/>
  </w:num>
  <w:num w:numId="4">
    <w:abstractNumId w:val="2"/>
  </w:num>
  <w:num w:numId="5">
    <w:abstractNumId w:val="7"/>
  </w:num>
  <w:num w:numId="6">
    <w:abstractNumId w:val="4"/>
  </w:num>
  <w:num w:numId="7">
    <w:abstractNumId w:val="1"/>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BD271F"/>
    <w:rsid w:val="00080B21"/>
    <w:rsid w:val="000C44A1"/>
    <w:rsid w:val="000F1487"/>
    <w:rsid w:val="00132F83"/>
    <w:rsid w:val="001714BA"/>
    <w:rsid w:val="001D43FB"/>
    <w:rsid w:val="001F7E0E"/>
    <w:rsid w:val="00251138"/>
    <w:rsid w:val="002918A3"/>
    <w:rsid w:val="002C1495"/>
    <w:rsid w:val="002C5DBC"/>
    <w:rsid w:val="002D201E"/>
    <w:rsid w:val="0030138A"/>
    <w:rsid w:val="003650DA"/>
    <w:rsid w:val="003A2E5D"/>
    <w:rsid w:val="003B5A9C"/>
    <w:rsid w:val="003D7D44"/>
    <w:rsid w:val="004216AC"/>
    <w:rsid w:val="004A3D8F"/>
    <w:rsid w:val="004A7E9C"/>
    <w:rsid w:val="004B1570"/>
    <w:rsid w:val="004E25C3"/>
    <w:rsid w:val="004F4C75"/>
    <w:rsid w:val="00510B1A"/>
    <w:rsid w:val="0056076F"/>
    <w:rsid w:val="00592DA4"/>
    <w:rsid w:val="005A33CF"/>
    <w:rsid w:val="005B4DD2"/>
    <w:rsid w:val="005C6517"/>
    <w:rsid w:val="005D5684"/>
    <w:rsid w:val="006636FB"/>
    <w:rsid w:val="00691E67"/>
    <w:rsid w:val="006D06CD"/>
    <w:rsid w:val="006D7F6C"/>
    <w:rsid w:val="00705601"/>
    <w:rsid w:val="007428B0"/>
    <w:rsid w:val="00780201"/>
    <w:rsid w:val="007A4348"/>
    <w:rsid w:val="007D5EDC"/>
    <w:rsid w:val="00822BA3"/>
    <w:rsid w:val="00863C34"/>
    <w:rsid w:val="00906864"/>
    <w:rsid w:val="0091436A"/>
    <w:rsid w:val="00916617"/>
    <w:rsid w:val="00961894"/>
    <w:rsid w:val="009636B5"/>
    <w:rsid w:val="00985BF2"/>
    <w:rsid w:val="00A52C0E"/>
    <w:rsid w:val="00A80195"/>
    <w:rsid w:val="00A909CE"/>
    <w:rsid w:val="00AA100C"/>
    <w:rsid w:val="00AC20F9"/>
    <w:rsid w:val="00B23E7C"/>
    <w:rsid w:val="00C432A0"/>
    <w:rsid w:val="00C540B3"/>
    <w:rsid w:val="00C72EF1"/>
    <w:rsid w:val="00C83BA1"/>
    <w:rsid w:val="00C86D68"/>
    <w:rsid w:val="00CA2784"/>
    <w:rsid w:val="00CE00B2"/>
    <w:rsid w:val="00CE53BA"/>
    <w:rsid w:val="00D33921"/>
    <w:rsid w:val="00D52231"/>
    <w:rsid w:val="00D90223"/>
    <w:rsid w:val="00DB4B3F"/>
    <w:rsid w:val="00DB4C30"/>
    <w:rsid w:val="00E01029"/>
    <w:rsid w:val="00E206FC"/>
    <w:rsid w:val="00E24F44"/>
    <w:rsid w:val="00E30BB0"/>
    <w:rsid w:val="00E51B92"/>
    <w:rsid w:val="00E55C19"/>
    <w:rsid w:val="00E751EE"/>
    <w:rsid w:val="00ED5E40"/>
    <w:rsid w:val="00EF11AE"/>
    <w:rsid w:val="00F70940"/>
    <w:rsid w:val="00F7156D"/>
    <w:rsid w:val="00F86638"/>
    <w:rsid w:val="00FC19EE"/>
    <w:rsid w:val="00FD64BD"/>
    <w:rsid w:val="02E71326"/>
    <w:rsid w:val="038E591A"/>
    <w:rsid w:val="060145A1"/>
    <w:rsid w:val="06724E3C"/>
    <w:rsid w:val="07F33656"/>
    <w:rsid w:val="082F608C"/>
    <w:rsid w:val="09694E19"/>
    <w:rsid w:val="0983246D"/>
    <w:rsid w:val="0ABF4E78"/>
    <w:rsid w:val="0B325655"/>
    <w:rsid w:val="0BB040E5"/>
    <w:rsid w:val="0BD17102"/>
    <w:rsid w:val="0C3B09EA"/>
    <w:rsid w:val="0C51041E"/>
    <w:rsid w:val="0D426665"/>
    <w:rsid w:val="0E3E4EC1"/>
    <w:rsid w:val="0FA4625E"/>
    <w:rsid w:val="10AA4FF9"/>
    <w:rsid w:val="111C13FA"/>
    <w:rsid w:val="11276264"/>
    <w:rsid w:val="116104EB"/>
    <w:rsid w:val="12A02B5B"/>
    <w:rsid w:val="133338C2"/>
    <w:rsid w:val="135F4623"/>
    <w:rsid w:val="13EB2E26"/>
    <w:rsid w:val="158301C3"/>
    <w:rsid w:val="15E3710E"/>
    <w:rsid w:val="162307D4"/>
    <w:rsid w:val="184D76DA"/>
    <w:rsid w:val="18E816A8"/>
    <w:rsid w:val="194828F1"/>
    <w:rsid w:val="1A3C1FED"/>
    <w:rsid w:val="1A9C3901"/>
    <w:rsid w:val="1B8125C5"/>
    <w:rsid w:val="1D8C3E26"/>
    <w:rsid w:val="1FBC428A"/>
    <w:rsid w:val="22CB55E5"/>
    <w:rsid w:val="236B4CB1"/>
    <w:rsid w:val="2494688B"/>
    <w:rsid w:val="2601464C"/>
    <w:rsid w:val="264F6BEA"/>
    <w:rsid w:val="27113F0A"/>
    <w:rsid w:val="27993998"/>
    <w:rsid w:val="28985062"/>
    <w:rsid w:val="2B7C093D"/>
    <w:rsid w:val="2BD5293F"/>
    <w:rsid w:val="2BE55E9E"/>
    <w:rsid w:val="2CE068B8"/>
    <w:rsid w:val="2CF2486C"/>
    <w:rsid w:val="2CFC03F1"/>
    <w:rsid w:val="2E4B3D1C"/>
    <w:rsid w:val="2ECD5AF3"/>
    <w:rsid w:val="2F477608"/>
    <w:rsid w:val="2F750FCC"/>
    <w:rsid w:val="30486F1E"/>
    <w:rsid w:val="30DA7825"/>
    <w:rsid w:val="30F36D07"/>
    <w:rsid w:val="3159603C"/>
    <w:rsid w:val="3358183C"/>
    <w:rsid w:val="34135078"/>
    <w:rsid w:val="34FB7D45"/>
    <w:rsid w:val="36CC52E9"/>
    <w:rsid w:val="382801C2"/>
    <w:rsid w:val="38323AB9"/>
    <w:rsid w:val="39212D9E"/>
    <w:rsid w:val="3AF044C9"/>
    <w:rsid w:val="3B2866FB"/>
    <w:rsid w:val="3C105EFD"/>
    <w:rsid w:val="3CF30FC7"/>
    <w:rsid w:val="3DAE0639"/>
    <w:rsid w:val="3DFD28BC"/>
    <w:rsid w:val="3E90355A"/>
    <w:rsid w:val="3EB5533E"/>
    <w:rsid w:val="40412A56"/>
    <w:rsid w:val="404B2D6A"/>
    <w:rsid w:val="40D468EC"/>
    <w:rsid w:val="444B6C5E"/>
    <w:rsid w:val="44666F00"/>
    <w:rsid w:val="455173E4"/>
    <w:rsid w:val="47C56822"/>
    <w:rsid w:val="47C6623D"/>
    <w:rsid w:val="483064CD"/>
    <w:rsid w:val="4ADA1E7E"/>
    <w:rsid w:val="4BD460A1"/>
    <w:rsid w:val="4D195CE4"/>
    <w:rsid w:val="4DB878A6"/>
    <w:rsid w:val="4DBF644D"/>
    <w:rsid w:val="4F6345CC"/>
    <w:rsid w:val="50CC51AE"/>
    <w:rsid w:val="51430BFE"/>
    <w:rsid w:val="520F53AE"/>
    <w:rsid w:val="52B61C60"/>
    <w:rsid w:val="533B1A50"/>
    <w:rsid w:val="53D47DDF"/>
    <w:rsid w:val="547B00C7"/>
    <w:rsid w:val="54B8331C"/>
    <w:rsid w:val="557D42BB"/>
    <w:rsid w:val="55C039BC"/>
    <w:rsid w:val="56BE348C"/>
    <w:rsid w:val="56C8433D"/>
    <w:rsid w:val="572F1920"/>
    <w:rsid w:val="577F5AD0"/>
    <w:rsid w:val="592D7542"/>
    <w:rsid w:val="59896ADA"/>
    <w:rsid w:val="59913D42"/>
    <w:rsid w:val="59BC716F"/>
    <w:rsid w:val="5A30245B"/>
    <w:rsid w:val="5A994E7D"/>
    <w:rsid w:val="5C4143A4"/>
    <w:rsid w:val="5D0278BE"/>
    <w:rsid w:val="5D07377B"/>
    <w:rsid w:val="5E3B1C46"/>
    <w:rsid w:val="5F363C13"/>
    <w:rsid w:val="5F656FAD"/>
    <w:rsid w:val="60D46DD7"/>
    <w:rsid w:val="6188083F"/>
    <w:rsid w:val="61BD271F"/>
    <w:rsid w:val="61F33B40"/>
    <w:rsid w:val="62A56FA1"/>
    <w:rsid w:val="63414702"/>
    <w:rsid w:val="66886CA3"/>
    <w:rsid w:val="670528BC"/>
    <w:rsid w:val="67D91B72"/>
    <w:rsid w:val="69F4668D"/>
    <w:rsid w:val="69F911C9"/>
    <w:rsid w:val="6A2E44BB"/>
    <w:rsid w:val="6A6960D3"/>
    <w:rsid w:val="6C320FA1"/>
    <w:rsid w:val="6E5327D9"/>
    <w:rsid w:val="701E5762"/>
    <w:rsid w:val="70985CED"/>
    <w:rsid w:val="72A85947"/>
    <w:rsid w:val="72C53B48"/>
    <w:rsid w:val="73A42FD6"/>
    <w:rsid w:val="73DF0733"/>
    <w:rsid w:val="74586900"/>
    <w:rsid w:val="75213B25"/>
    <w:rsid w:val="756A2D0D"/>
    <w:rsid w:val="76FC7F13"/>
    <w:rsid w:val="779107C5"/>
    <w:rsid w:val="7A4503F8"/>
    <w:rsid w:val="7A69683B"/>
    <w:rsid w:val="7AAF4E62"/>
    <w:rsid w:val="7C20049C"/>
    <w:rsid w:val="7D4B1EB7"/>
    <w:rsid w:val="7EC45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HAnsi" w:hAnsiTheme="minorHAnsi" w:eastAsiaTheme="minorEastAsia" w:cstheme="minorBidi"/>
      <w:kern w:val="2"/>
      <w:sz w:val="24"/>
      <w:szCs w:val="22"/>
      <w:lang w:val="en-US" w:eastAsia="zh-CN" w:bidi="ar-SA"/>
    </w:rPr>
  </w:style>
  <w:style w:type="paragraph" w:styleId="4">
    <w:name w:val="heading 1"/>
    <w:basedOn w:val="1"/>
    <w:next w:val="1"/>
    <w:qFormat/>
    <w:uiPriority w:val="0"/>
    <w:pPr>
      <w:keepNext/>
      <w:keepLines/>
      <w:spacing w:line="360" w:lineRule="auto"/>
      <w:outlineLvl w:val="0"/>
    </w:pPr>
    <w:rPr>
      <w:rFonts w:eastAsia="宋体"/>
      <w:b/>
      <w:kern w:val="44"/>
      <w:sz w:val="32"/>
      <w:szCs w:val="24"/>
    </w:rPr>
  </w:style>
  <w:style w:type="paragraph" w:styleId="5">
    <w:name w:val="heading 2"/>
    <w:basedOn w:val="1"/>
    <w:next w:val="1"/>
    <w:unhideWhenUsed/>
    <w:qFormat/>
    <w:uiPriority w:val="0"/>
    <w:pPr>
      <w:keepNext/>
      <w:spacing w:line="360" w:lineRule="auto"/>
      <w:ind w:firstLine="883" w:firstLineChars="200"/>
      <w:outlineLvl w:val="1"/>
    </w:pPr>
    <w:rPr>
      <w:rFonts w:ascii="Times New Roman" w:hAnsi="Times New Roman"/>
      <w:b/>
      <w:sz w:val="28"/>
    </w:rPr>
  </w:style>
  <w:style w:type="paragraph" w:styleId="6">
    <w:name w:val="heading 3"/>
    <w:basedOn w:val="1"/>
    <w:next w:val="1"/>
    <w:link w:val="27"/>
    <w:unhideWhenUsed/>
    <w:qFormat/>
    <w:uiPriority w:val="0"/>
    <w:pPr>
      <w:keepNext/>
      <w:keepLines/>
      <w:spacing w:line="360" w:lineRule="auto"/>
      <w:ind w:firstLine="883" w:firstLineChars="200"/>
      <w:outlineLvl w:val="2"/>
    </w:pPr>
    <w:rPr>
      <w:rFonts w:ascii="Times New Roman" w:hAnsi="Times New Roman"/>
      <w:b/>
    </w:rPr>
  </w:style>
  <w:style w:type="paragraph" w:styleId="7">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customStyle="1" w:styleId="3">
    <w:name w:val="xl27"/>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新宋体-18030" w:hAnsi="新宋体-18030" w:eastAsia="新宋体-18030" w:cs="新宋体-18030"/>
      <w:kern w:val="0"/>
    </w:rPr>
  </w:style>
  <w:style w:type="paragraph" w:styleId="8">
    <w:name w:val="annotation text"/>
    <w:basedOn w:val="1"/>
    <w:qFormat/>
    <w:uiPriority w:val="0"/>
    <w:pPr>
      <w:jc w:val="left"/>
    </w:pPr>
  </w:style>
  <w:style w:type="paragraph" w:styleId="9">
    <w:name w:val="Body Text Indent"/>
    <w:basedOn w:val="1"/>
    <w:qFormat/>
    <w:uiPriority w:val="0"/>
    <w:pPr>
      <w:ind w:firstLine="480" w:firstLineChars="200"/>
    </w:pPr>
  </w:style>
  <w:style w:type="paragraph" w:styleId="10">
    <w:name w:val="Balloon Text"/>
    <w:basedOn w:val="1"/>
    <w:link w:val="35"/>
    <w:qFormat/>
    <w:uiPriority w:val="0"/>
    <w:pPr>
      <w:spacing w:line="240" w:lineRule="auto"/>
    </w:pPr>
    <w:rPr>
      <w:sz w:val="18"/>
      <w:szCs w:val="18"/>
    </w:rPr>
  </w:style>
  <w:style w:type="paragraph" w:styleId="11">
    <w:name w:val="footer"/>
    <w:basedOn w:val="1"/>
    <w:link w:val="34"/>
    <w:qFormat/>
    <w:uiPriority w:val="99"/>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3">
    <w:name w:val="toc 2"/>
    <w:basedOn w:val="1"/>
    <w:next w:val="1"/>
    <w:qFormat/>
    <w:uiPriority w:val="39"/>
    <w:pPr>
      <w:jc w:val="center"/>
    </w:pPr>
    <w:rPr>
      <w:smallCaps/>
      <w:szCs w:val="21"/>
    </w:rPr>
  </w:style>
  <w:style w:type="paragraph" w:styleId="14">
    <w:name w:val="Normal (Web)"/>
    <w:basedOn w:val="1"/>
    <w:qFormat/>
    <w:uiPriority w:val="0"/>
    <w:pPr>
      <w:widowControl/>
      <w:spacing w:before="100" w:beforeAutospacing="1" w:after="100" w:afterAutospacing="1"/>
      <w:jc w:val="left"/>
    </w:pPr>
    <w:rPr>
      <w:rFonts w:ascii="宋体" w:hAnsi="宋体" w:cs="宋体"/>
      <w:kern w:val="0"/>
    </w:rPr>
  </w:style>
  <w:style w:type="paragraph" w:styleId="15">
    <w:name w:val="Body Text First Indent"/>
    <w:basedOn w:val="2"/>
    <w:next w:val="1"/>
    <w:qFormat/>
    <w:uiPriority w:val="0"/>
    <w:pPr>
      <w:ind w:firstLine="420" w:firstLineChars="100"/>
    </w:pPr>
  </w:style>
  <w:style w:type="paragraph" w:styleId="16">
    <w:name w:val="Body Text First Indent 2"/>
    <w:basedOn w:val="9"/>
    <w:qFormat/>
    <w:uiPriority w:val="0"/>
    <w:pPr>
      <w:ind w:firstLine="420" w:firstLineChars="2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annotation reference"/>
    <w:basedOn w:val="19"/>
    <w:qFormat/>
    <w:uiPriority w:val="0"/>
    <w:rPr>
      <w:sz w:val="21"/>
      <w:szCs w:val="21"/>
    </w:rPr>
  </w:style>
  <w:style w:type="paragraph" w:customStyle="1" w:styleId="21">
    <w:name w:val="四级条标题"/>
    <w:basedOn w:val="22"/>
    <w:next w:val="26"/>
    <w:qFormat/>
    <w:uiPriority w:val="0"/>
    <w:pPr>
      <w:widowControl/>
      <w:numPr>
        <w:ilvl w:val="3"/>
        <w:numId w:val="0"/>
      </w:numPr>
      <w:tabs>
        <w:tab w:val="left" w:pos="1260"/>
        <w:tab w:val="left" w:pos="1680"/>
      </w:tabs>
      <w:outlineLvl w:val="5"/>
    </w:pPr>
    <w:rPr>
      <w:rFonts w:ascii="黑体" w:eastAsia="黑体"/>
      <w:kern w:val="0"/>
      <w:szCs w:val="20"/>
    </w:rPr>
  </w:style>
  <w:style w:type="paragraph" w:customStyle="1" w:styleId="22">
    <w:name w:val="三级条标题"/>
    <w:basedOn w:val="23"/>
    <w:next w:val="26"/>
    <w:qFormat/>
    <w:uiPriority w:val="0"/>
    <w:pPr>
      <w:numPr>
        <w:ilvl w:val="3"/>
        <w:numId w:val="0"/>
      </w:numPr>
      <w:tabs>
        <w:tab w:val="left" w:pos="1260"/>
        <w:tab w:val="left" w:pos="1680"/>
      </w:tabs>
      <w:outlineLvl w:val="4"/>
    </w:pPr>
  </w:style>
  <w:style w:type="paragraph" w:customStyle="1" w:styleId="23">
    <w:name w:val="二级条标题"/>
    <w:basedOn w:val="24"/>
    <w:next w:val="26"/>
    <w:qFormat/>
    <w:uiPriority w:val="0"/>
    <w:pPr>
      <w:numPr>
        <w:ilvl w:val="3"/>
        <w:numId w:val="1"/>
      </w:numPr>
      <w:tabs>
        <w:tab w:val="left" w:pos="1260"/>
      </w:tabs>
      <w:outlineLvl w:val="3"/>
    </w:pPr>
  </w:style>
  <w:style w:type="paragraph" w:customStyle="1" w:styleId="24">
    <w:name w:val="一级条标题"/>
    <w:basedOn w:val="25"/>
    <w:next w:val="26"/>
    <w:qFormat/>
    <w:uiPriority w:val="0"/>
    <w:pPr>
      <w:numPr>
        <w:ilvl w:val="2"/>
        <w:numId w:val="1"/>
      </w:numPr>
      <w:spacing w:before="0" w:beforeLines="0" w:after="0" w:afterLines="0"/>
      <w:outlineLvl w:val="2"/>
    </w:pPr>
  </w:style>
  <w:style w:type="paragraph" w:customStyle="1" w:styleId="25">
    <w:name w:val="章标题"/>
    <w:next w:val="26"/>
    <w:qFormat/>
    <w:uiPriority w:val="0"/>
    <w:pPr>
      <w:spacing w:before="156" w:beforeLines="50" w:after="156" w:afterLines="50"/>
      <w:jc w:val="both"/>
      <w:outlineLvl w:val="1"/>
    </w:pPr>
    <w:rPr>
      <w:rFonts w:ascii="黑体" w:hAnsi="Times New Roman" w:eastAsia="黑体" w:cs="Times New Roman"/>
      <w:sz w:val="21"/>
      <w:szCs w:val="22"/>
      <w:lang w:val="en-US" w:eastAsia="zh-CN" w:bidi="ar-SA"/>
    </w:rPr>
  </w:style>
  <w:style w:type="paragraph" w:customStyle="1" w:styleId="26">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character" w:customStyle="1" w:styleId="27">
    <w:name w:val="标题 3 字符"/>
    <w:link w:val="6"/>
    <w:qFormat/>
    <w:uiPriority w:val="0"/>
    <w:rPr>
      <w:rFonts w:ascii="Times New Roman" w:hAnsi="Times New Roman"/>
      <w:b/>
    </w:rPr>
  </w:style>
  <w:style w:type="character" w:customStyle="1" w:styleId="28">
    <w:name w:val="正文文本 + MingLiU"/>
    <w:qFormat/>
    <w:uiPriority w:val="0"/>
    <w:rPr>
      <w:rFonts w:ascii="MingLiU" w:hAnsi="MingLiU" w:eastAsia="MingLiU" w:cs="MingLiU"/>
      <w:color w:val="000000"/>
      <w:spacing w:val="0"/>
      <w:w w:val="100"/>
      <w:position w:val="0"/>
      <w:sz w:val="20"/>
      <w:szCs w:val="20"/>
      <w:u w:val="none"/>
      <w:lang w:val="zh-TW"/>
    </w:rPr>
  </w:style>
  <w:style w:type="paragraph" w:customStyle="1" w:styleId="29">
    <w:name w:val="正  文"/>
    <w:basedOn w:val="1"/>
    <w:next w:val="1"/>
    <w:qFormat/>
    <w:uiPriority w:val="0"/>
    <w:pPr>
      <w:spacing w:line="360" w:lineRule="auto"/>
      <w:ind w:firstLine="560" w:firstLineChars="200"/>
    </w:pPr>
    <w:rPr>
      <w:rFonts w:ascii="宋体" w:hAnsi="宋体" w:cs="仿宋_GB2312"/>
      <w:szCs w:val="28"/>
    </w:rPr>
  </w:style>
  <w:style w:type="paragraph" w:customStyle="1" w:styleId="30">
    <w:name w:val="表文字"/>
    <w:basedOn w:val="1"/>
    <w:qFormat/>
    <w:uiPriority w:val="0"/>
    <w:pPr>
      <w:overflowPunct w:val="0"/>
      <w:autoSpaceDE w:val="0"/>
      <w:autoSpaceDN w:val="0"/>
      <w:adjustRightInd w:val="0"/>
      <w:spacing w:line="240" w:lineRule="atLeast"/>
      <w:jc w:val="center"/>
      <w:textAlignment w:val="baseline"/>
    </w:pPr>
    <w:rPr>
      <w:kern w:val="0"/>
      <w:szCs w:val="20"/>
    </w:rPr>
  </w:style>
  <w:style w:type="paragraph" w:customStyle="1" w:styleId="31">
    <w:name w:val="报告正文"/>
    <w:basedOn w:val="1"/>
    <w:qFormat/>
    <w:uiPriority w:val="0"/>
    <w:pPr>
      <w:adjustRightInd w:val="0"/>
      <w:snapToGrid w:val="0"/>
      <w:spacing w:line="360" w:lineRule="auto"/>
      <w:ind w:firstLine="200" w:firstLineChars="200"/>
    </w:pPr>
    <w:rPr>
      <w:rFonts w:ascii="宋体"/>
      <w:szCs w:val="20"/>
    </w:rPr>
  </w:style>
  <w:style w:type="paragraph" w:customStyle="1" w:styleId="32">
    <w:name w:val="WPSOffice手动目录 1"/>
    <w:qFormat/>
    <w:uiPriority w:val="0"/>
    <w:rPr>
      <w:rFonts w:ascii="Times New Roman" w:hAnsi="Times New Roman" w:eastAsia="宋体" w:cs="Times New Roman"/>
      <w:lang w:val="en-US" w:eastAsia="zh-CN" w:bidi="ar-SA"/>
    </w:rPr>
  </w:style>
  <w:style w:type="paragraph" w:customStyle="1" w:styleId="33">
    <w:name w:val="Default"/>
    <w:next w:val="16"/>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4">
    <w:name w:val="页脚 字符"/>
    <w:basedOn w:val="19"/>
    <w:link w:val="11"/>
    <w:qFormat/>
    <w:uiPriority w:val="99"/>
    <w:rPr>
      <w:kern w:val="2"/>
      <w:sz w:val="18"/>
      <w:szCs w:val="22"/>
    </w:rPr>
  </w:style>
  <w:style w:type="character" w:customStyle="1" w:styleId="35">
    <w:name w:val="批注框文本 字符"/>
    <w:basedOn w:val="19"/>
    <w:link w:val="10"/>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2.wmf"/><Relationship Id="rId22" Type="http://schemas.openxmlformats.org/officeDocument/2006/relationships/oleObject" Target="embeddings/oleObject7.bin"/><Relationship Id="rId21" Type="http://schemas.openxmlformats.org/officeDocument/2006/relationships/image" Target="media/image11.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5.bin"/><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png"/><Relationship Id="rId12" Type="http://schemas.openxmlformats.org/officeDocument/2006/relationships/image" Target="media/image5.emf"/><Relationship Id="rId11" Type="http://schemas.openxmlformats.org/officeDocument/2006/relationships/oleObject" Target="embeddings/oleObject3.bin"/><Relationship Id="rId10" Type="http://schemas.openxmlformats.org/officeDocument/2006/relationships/image" Target="media/image4.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31"/>
    <customShpInfo spid="_x0000_s1026"/>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8D54A2-BE10-443E-9031-A0D1CB03A26D}">
  <ds:schemaRefs/>
</ds:datastoreItem>
</file>

<file path=docProps/app.xml><?xml version="1.0" encoding="utf-8"?>
<Properties xmlns="http://schemas.openxmlformats.org/officeDocument/2006/extended-properties" xmlns:vt="http://schemas.openxmlformats.org/officeDocument/2006/docPropsVTypes">
  <Template>Normal</Template>
  <Pages>58</Pages>
  <Words>5631</Words>
  <Characters>32103</Characters>
  <Lines>267</Lines>
  <Paragraphs>75</Paragraphs>
  <TotalTime>1</TotalTime>
  <ScaleCrop>false</ScaleCrop>
  <LinksUpToDate>false</LinksUpToDate>
  <CharactersWithSpaces>37659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2019-12-26T01:17:00Z</dcterms:created>
  <dc:creator>阿拉法的贝塔</dc:creator>
  <cp:lastModifiedBy>周观球</cp:lastModifiedBy>
  <cp:lastPrinted>2020-03-11T05:27:00Z</cp:lastPrinted>
  <dcterms:modified xsi:type="dcterms:W3CDTF">2020-12-28T02:05:53Z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